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65" w:rsidRDefault="00B36365" w:rsidP="00B36365">
      <w:pPr>
        <w:tabs>
          <w:tab w:val="left" w:pos="0"/>
          <w:tab w:val="left" w:pos="3969"/>
        </w:tabs>
        <w:spacing w:after="0" w:line="240" w:lineRule="auto"/>
        <w:ind w:left="3969" w:hanging="4962"/>
        <w:jc w:val="center"/>
        <w:rPr>
          <w:rFonts w:ascii="Bodoni MT Black" w:hAnsi="Bodoni MT Black" w:cstheme="minorHAnsi"/>
          <w:b/>
          <w:sz w:val="24"/>
          <w:szCs w:val="24"/>
        </w:rPr>
      </w:pPr>
      <w:bookmarkStart w:id="0" w:name="_GoBack"/>
      <w:bookmarkEnd w:id="0"/>
      <w:r>
        <w:rPr>
          <w:rFonts w:ascii="Cooper Black" w:hAnsi="Cooper Black"/>
          <w:noProof/>
          <w:sz w:val="36"/>
          <w:szCs w:val="36"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62D50CD5" wp14:editId="225A420A">
            <wp:simplePos x="0" y="0"/>
            <wp:positionH relativeFrom="column">
              <wp:posOffset>-437878</wp:posOffset>
            </wp:positionH>
            <wp:positionV relativeFrom="paragraph">
              <wp:posOffset>-235585</wp:posOffset>
            </wp:positionV>
            <wp:extent cx="1420586" cy="1429035"/>
            <wp:effectExtent l="0" t="0" r="8255" b="0"/>
            <wp:wrapNone/>
            <wp:docPr id="1" name="Imagen 1" descr="D:\VILLARREAL\Insignias y logos\Vicchama 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LLARREAL\Insignias y logos\Vicchama B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303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doni MT Black" w:hAnsi="Bodoni MT Black" w:cstheme="minorHAnsi"/>
          <w:b/>
          <w:sz w:val="24"/>
          <w:szCs w:val="24"/>
        </w:rPr>
        <w:t xml:space="preserve">         </w:t>
      </w:r>
      <w:r w:rsidRPr="0010427A">
        <w:rPr>
          <w:rFonts w:ascii="Bodoni MT Black" w:hAnsi="Bodoni MT Black" w:cstheme="minorHAnsi"/>
          <w:b/>
          <w:sz w:val="24"/>
          <w:szCs w:val="24"/>
        </w:rPr>
        <w:t>UNIVERSIDAD NACIONAL</w:t>
      </w:r>
    </w:p>
    <w:p w:rsidR="00B36365" w:rsidRDefault="00B36365" w:rsidP="00B36365">
      <w:pPr>
        <w:tabs>
          <w:tab w:val="center" w:pos="4419"/>
          <w:tab w:val="left" w:pos="7800"/>
        </w:tabs>
        <w:spacing w:after="0" w:line="240" w:lineRule="auto"/>
        <w:jc w:val="center"/>
        <w:rPr>
          <w:rFonts w:ascii="Bodoni MT Black" w:hAnsi="Bodoni MT Black" w:cstheme="minorHAnsi"/>
          <w:b/>
          <w:sz w:val="24"/>
          <w:szCs w:val="24"/>
        </w:rPr>
      </w:pPr>
      <w:r w:rsidRPr="0010427A">
        <w:rPr>
          <w:rFonts w:ascii="Bodoni MT Black" w:hAnsi="Bodoni MT Black" w:cstheme="minorHAnsi"/>
          <w:b/>
          <w:sz w:val="24"/>
          <w:szCs w:val="24"/>
        </w:rPr>
        <w:t>JOSÉ FAUSTINO SÁNCHEZ CARRIÓN</w:t>
      </w:r>
    </w:p>
    <w:p w:rsidR="00B36365" w:rsidRPr="0010427A" w:rsidRDefault="00B36365" w:rsidP="00B36365">
      <w:pPr>
        <w:tabs>
          <w:tab w:val="center" w:pos="4419"/>
          <w:tab w:val="left" w:pos="7800"/>
        </w:tabs>
        <w:spacing w:after="0" w:line="240" w:lineRule="auto"/>
        <w:jc w:val="center"/>
        <w:rPr>
          <w:rFonts w:ascii="Bodoni MT Black" w:hAnsi="Bodoni MT Black" w:cstheme="minorHAnsi"/>
          <w:b/>
          <w:sz w:val="24"/>
          <w:szCs w:val="24"/>
        </w:rPr>
      </w:pPr>
    </w:p>
    <w:p w:rsidR="00B36365" w:rsidRPr="0010427A" w:rsidRDefault="00B36365" w:rsidP="00B36365">
      <w:pPr>
        <w:tabs>
          <w:tab w:val="center" w:pos="4419"/>
          <w:tab w:val="left" w:pos="780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10427A">
        <w:rPr>
          <w:rFonts w:ascii="Bookman Old Style" w:hAnsi="Bookman Old Style" w:cstheme="minorHAnsi"/>
          <w:b/>
          <w:sz w:val="24"/>
          <w:szCs w:val="24"/>
        </w:rPr>
        <w:t>Facultad de Derecho y Ciencias Políticas</w:t>
      </w:r>
    </w:p>
    <w:p w:rsidR="00B36365" w:rsidRPr="0010427A" w:rsidRDefault="00B36365" w:rsidP="00B36365">
      <w:pPr>
        <w:tabs>
          <w:tab w:val="center" w:pos="4419"/>
          <w:tab w:val="left" w:pos="780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10427A">
        <w:rPr>
          <w:rFonts w:ascii="Bookman Old Style" w:hAnsi="Bookman Old Style" w:cstheme="minorHAnsi"/>
          <w:b/>
          <w:sz w:val="24"/>
          <w:szCs w:val="24"/>
        </w:rPr>
        <w:t>SÍLABO</w:t>
      </w:r>
    </w:p>
    <w:p w:rsidR="00B36365" w:rsidRPr="0010427A" w:rsidRDefault="00B36365" w:rsidP="00B36365">
      <w:pPr>
        <w:tabs>
          <w:tab w:val="center" w:pos="4419"/>
          <w:tab w:val="left" w:pos="780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  <w:r w:rsidRPr="0010427A">
        <w:rPr>
          <w:rFonts w:ascii="Bookman Old Style" w:hAnsi="Bookman Old Style" w:cstheme="minorHAnsi"/>
          <w:b/>
          <w:sz w:val="24"/>
          <w:szCs w:val="24"/>
        </w:rPr>
        <w:t xml:space="preserve">ASIGNATURA: </w:t>
      </w:r>
      <w:r>
        <w:rPr>
          <w:rFonts w:ascii="Bookman Old Style" w:hAnsi="Bookman Old Style" w:cstheme="minorHAnsi"/>
          <w:b/>
          <w:sz w:val="24"/>
          <w:szCs w:val="24"/>
          <w:u w:val="single"/>
        </w:rPr>
        <w:t xml:space="preserve">REDACCIÓN Y ARGUMENTACIÓN JURÍDICA </w:t>
      </w:r>
    </w:p>
    <w:p w:rsidR="00B36365" w:rsidRDefault="00B36365" w:rsidP="00B36365">
      <w:pPr>
        <w:pStyle w:val="Prrafodelista"/>
        <w:numPr>
          <w:ilvl w:val="0"/>
          <w:numId w:val="1"/>
        </w:numPr>
        <w:tabs>
          <w:tab w:val="left" w:pos="4962"/>
          <w:tab w:val="left" w:pos="7800"/>
        </w:tabs>
        <w:ind w:right="-376"/>
        <w:jc w:val="both"/>
        <w:rPr>
          <w:rFonts w:ascii="Arial Narrow" w:hAnsi="Arial Narrow" w:cstheme="minorHAnsi"/>
          <w:b/>
          <w:u w:val="single"/>
        </w:rPr>
      </w:pPr>
      <w:r w:rsidRPr="001D51F2">
        <w:rPr>
          <w:rFonts w:ascii="Arial Narrow" w:hAnsi="Arial Narrow" w:cstheme="minorHAnsi"/>
          <w:b/>
          <w:u w:val="single"/>
        </w:rPr>
        <w:t>DATOS GENERALES</w:t>
      </w:r>
    </w:p>
    <w:p w:rsidR="00B36365" w:rsidRPr="001D51F2" w:rsidRDefault="00B36365" w:rsidP="00B36365">
      <w:pPr>
        <w:pStyle w:val="Prrafodelista"/>
        <w:tabs>
          <w:tab w:val="left" w:pos="4962"/>
          <w:tab w:val="left" w:pos="7800"/>
        </w:tabs>
        <w:ind w:right="-376"/>
        <w:jc w:val="both"/>
        <w:rPr>
          <w:rFonts w:ascii="Arial Narrow" w:hAnsi="Arial Narrow" w:cstheme="minorHAnsi"/>
          <w:b/>
          <w:u w:val="single"/>
        </w:rPr>
      </w:pPr>
    </w:p>
    <w:p w:rsidR="00B36365" w:rsidRPr="001D51F2" w:rsidRDefault="00B36365" w:rsidP="00B36365">
      <w:pPr>
        <w:pStyle w:val="Prrafodelista"/>
        <w:numPr>
          <w:ilvl w:val="1"/>
          <w:numId w:val="1"/>
        </w:numPr>
        <w:ind w:left="1276" w:right="-376" w:hanging="567"/>
        <w:rPr>
          <w:rFonts w:ascii="Arial Narrow" w:hAnsi="Arial Narrow" w:cstheme="minorHAnsi"/>
          <w:b/>
          <w:u w:val="single"/>
        </w:rPr>
      </w:pPr>
      <w:r w:rsidRPr="001D51F2">
        <w:rPr>
          <w:rFonts w:ascii="Arial Narrow" w:hAnsi="Arial Narrow" w:cstheme="minorHAnsi"/>
        </w:rPr>
        <w:t>Escuela Académica Profesional</w:t>
      </w:r>
      <w:r>
        <w:rPr>
          <w:rFonts w:ascii="Arial Narrow" w:hAnsi="Arial Narrow" w:cstheme="minorHAnsi"/>
        </w:rPr>
        <w:tab/>
      </w:r>
      <w:r w:rsidRPr="001D51F2">
        <w:rPr>
          <w:rFonts w:ascii="Arial Narrow" w:hAnsi="Arial Narrow" w:cstheme="minorHAnsi"/>
        </w:rPr>
        <w:t xml:space="preserve">:  DERECHO Y CIENCIAS POLÍTICAS  </w:t>
      </w:r>
    </w:p>
    <w:p w:rsidR="00B36365" w:rsidRPr="001D51F2" w:rsidRDefault="00B36365" w:rsidP="00B36365">
      <w:pPr>
        <w:pStyle w:val="Prrafodelista"/>
        <w:numPr>
          <w:ilvl w:val="1"/>
          <w:numId w:val="1"/>
        </w:numPr>
        <w:ind w:left="1276" w:right="-376" w:hanging="567"/>
        <w:rPr>
          <w:rFonts w:ascii="Arial Narrow" w:hAnsi="Arial Narrow" w:cstheme="minorHAnsi"/>
          <w:b/>
          <w:u w:val="single"/>
        </w:rPr>
      </w:pPr>
      <w:r w:rsidRPr="001D51F2">
        <w:rPr>
          <w:rFonts w:ascii="Arial Narrow" w:hAnsi="Arial Narrow" w:cstheme="minorHAnsi"/>
        </w:rPr>
        <w:t xml:space="preserve">Departamento Académico 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1D51F2">
        <w:rPr>
          <w:rFonts w:ascii="Arial Narrow" w:hAnsi="Arial Narrow" w:cstheme="minorHAnsi"/>
        </w:rPr>
        <w:t>:  DERECHO</w:t>
      </w:r>
    </w:p>
    <w:p w:rsidR="00B36365" w:rsidRPr="001D51F2" w:rsidRDefault="00B36365" w:rsidP="00B36365">
      <w:pPr>
        <w:pStyle w:val="Prrafodelista"/>
        <w:numPr>
          <w:ilvl w:val="1"/>
          <w:numId w:val="1"/>
        </w:numPr>
        <w:tabs>
          <w:tab w:val="left" w:pos="4253"/>
        </w:tabs>
        <w:ind w:left="1276" w:right="-376" w:hanging="567"/>
        <w:rPr>
          <w:rFonts w:ascii="Arial Narrow" w:hAnsi="Arial Narrow" w:cstheme="minorHAnsi"/>
          <w:b/>
          <w:u w:val="single"/>
        </w:rPr>
      </w:pPr>
      <w:r w:rsidRPr="001D51F2">
        <w:rPr>
          <w:rFonts w:ascii="Arial Narrow" w:hAnsi="Arial Narrow" w:cstheme="minorHAnsi"/>
        </w:rPr>
        <w:t>Ciclo</w:t>
      </w:r>
      <w:r>
        <w:rPr>
          <w:rFonts w:ascii="Arial Narrow" w:hAnsi="Arial Narrow" w:cstheme="minorHAnsi"/>
        </w:rPr>
        <w:tab/>
      </w:r>
      <w:r w:rsidRPr="001D51F2">
        <w:rPr>
          <w:rFonts w:ascii="Arial Narrow" w:hAnsi="Arial Narrow" w:cstheme="minorHAnsi"/>
        </w:rPr>
        <w:t xml:space="preserve">:  </w:t>
      </w:r>
      <w:r>
        <w:rPr>
          <w:rFonts w:ascii="Arial Narrow" w:hAnsi="Arial Narrow" w:cstheme="minorHAnsi"/>
        </w:rPr>
        <w:t>I CICLO-GRUPO A</w:t>
      </w:r>
    </w:p>
    <w:p w:rsidR="00B36365" w:rsidRPr="001D51F2" w:rsidRDefault="00B36365" w:rsidP="00B36365">
      <w:pPr>
        <w:pStyle w:val="Prrafodelista"/>
        <w:numPr>
          <w:ilvl w:val="1"/>
          <w:numId w:val="1"/>
        </w:numPr>
        <w:ind w:left="1276" w:right="-376" w:hanging="567"/>
        <w:rPr>
          <w:rFonts w:ascii="Arial Narrow" w:hAnsi="Arial Narrow" w:cstheme="minorHAnsi"/>
          <w:b/>
          <w:u w:val="single"/>
        </w:rPr>
      </w:pPr>
      <w:r w:rsidRPr="001D51F2">
        <w:rPr>
          <w:rFonts w:ascii="Arial Narrow" w:hAnsi="Arial Narrow" w:cstheme="minorHAnsi"/>
        </w:rPr>
        <w:t>Créditos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1D51F2">
        <w:rPr>
          <w:rFonts w:ascii="Arial Narrow" w:hAnsi="Arial Narrow" w:cstheme="minorHAnsi"/>
        </w:rPr>
        <w:t>:  0</w:t>
      </w:r>
      <w:r>
        <w:rPr>
          <w:rFonts w:ascii="Arial Narrow" w:hAnsi="Arial Narrow" w:cstheme="minorHAnsi"/>
        </w:rPr>
        <w:t>6</w:t>
      </w:r>
    </w:p>
    <w:p w:rsidR="00B36365" w:rsidRPr="001D51F2" w:rsidRDefault="00B36365" w:rsidP="00B36365">
      <w:pPr>
        <w:pStyle w:val="Prrafodelista"/>
        <w:numPr>
          <w:ilvl w:val="1"/>
          <w:numId w:val="1"/>
        </w:numPr>
        <w:tabs>
          <w:tab w:val="left" w:pos="4253"/>
        </w:tabs>
        <w:ind w:left="1276" w:right="-376" w:hanging="567"/>
        <w:rPr>
          <w:rFonts w:ascii="Arial Narrow" w:hAnsi="Arial Narrow" w:cstheme="minorHAnsi"/>
          <w:b/>
          <w:u w:val="single"/>
        </w:rPr>
      </w:pPr>
      <w:r w:rsidRPr="001D51F2">
        <w:rPr>
          <w:rFonts w:ascii="Arial Narrow" w:hAnsi="Arial Narrow" w:cstheme="minorHAnsi"/>
        </w:rPr>
        <w:t xml:space="preserve">Horas semanales </w:t>
      </w:r>
      <w:r>
        <w:rPr>
          <w:rFonts w:ascii="Arial Narrow" w:hAnsi="Arial Narrow" w:cstheme="minorHAnsi"/>
        </w:rPr>
        <w:tab/>
      </w:r>
      <w:r w:rsidRPr="001D51F2">
        <w:rPr>
          <w:rFonts w:ascii="Arial Narrow" w:hAnsi="Arial Narrow" w:cstheme="minorHAnsi"/>
        </w:rPr>
        <w:t>:  0</w:t>
      </w:r>
      <w:r>
        <w:rPr>
          <w:rFonts w:ascii="Arial Narrow" w:hAnsi="Arial Narrow" w:cstheme="minorHAnsi"/>
        </w:rPr>
        <w:t>6</w:t>
      </w:r>
    </w:p>
    <w:p w:rsidR="00B36365" w:rsidRPr="001D51F2" w:rsidRDefault="00B36365" w:rsidP="00B36365">
      <w:pPr>
        <w:pStyle w:val="Prrafodelista"/>
        <w:numPr>
          <w:ilvl w:val="1"/>
          <w:numId w:val="1"/>
        </w:numPr>
        <w:tabs>
          <w:tab w:val="left" w:pos="993"/>
          <w:tab w:val="left" w:pos="1276"/>
          <w:tab w:val="left" w:pos="4253"/>
        </w:tabs>
        <w:ind w:right="-376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</w:t>
      </w:r>
      <w:r w:rsidRPr="001D51F2">
        <w:rPr>
          <w:rFonts w:ascii="Arial Narrow" w:hAnsi="Arial Narrow" w:cstheme="minorHAnsi"/>
        </w:rPr>
        <w:t>Semestre Académico</w:t>
      </w:r>
      <w:r>
        <w:rPr>
          <w:rFonts w:ascii="Arial Narrow" w:hAnsi="Arial Narrow" w:cstheme="minorHAnsi"/>
        </w:rPr>
        <w:tab/>
      </w:r>
      <w:r w:rsidRPr="001D51F2">
        <w:rPr>
          <w:rFonts w:ascii="Arial Narrow" w:hAnsi="Arial Narrow" w:cstheme="minorHAnsi"/>
        </w:rPr>
        <w:t>:  201</w:t>
      </w:r>
      <w:r>
        <w:rPr>
          <w:rFonts w:ascii="Arial Narrow" w:hAnsi="Arial Narrow" w:cstheme="minorHAnsi"/>
        </w:rPr>
        <w:t>4</w:t>
      </w:r>
      <w:r w:rsidRPr="001D51F2">
        <w:rPr>
          <w:rFonts w:ascii="Arial Narrow" w:hAnsi="Arial Narrow" w:cstheme="minorHAnsi"/>
        </w:rPr>
        <w:t>– I</w:t>
      </w:r>
      <w:r>
        <w:rPr>
          <w:rFonts w:ascii="Arial Narrow" w:hAnsi="Arial Narrow" w:cstheme="minorHAnsi"/>
        </w:rPr>
        <w:t>I</w:t>
      </w:r>
    </w:p>
    <w:p w:rsidR="00B36365" w:rsidRPr="001D51F2" w:rsidRDefault="00B36365" w:rsidP="00B36365">
      <w:pPr>
        <w:pStyle w:val="Prrafodelista"/>
        <w:numPr>
          <w:ilvl w:val="1"/>
          <w:numId w:val="1"/>
        </w:numPr>
        <w:tabs>
          <w:tab w:val="left" w:pos="0"/>
          <w:tab w:val="center" w:pos="1276"/>
          <w:tab w:val="left" w:pos="4253"/>
        </w:tabs>
        <w:ind w:left="4820" w:right="-376" w:hanging="4100"/>
        <w:jc w:val="both"/>
        <w:rPr>
          <w:rFonts w:ascii="Arial Narrow" w:hAnsi="Arial Narrow" w:cstheme="minorHAnsi"/>
        </w:rPr>
      </w:pPr>
      <w:r w:rsidRPr="001D51F2">
        <w:rPr>
          <w:rFonts w:ascii="Arial Narrow" w:hAnsi="Arial Narrow" w:cstheme="minorHAnsi"/>
        </w:rPr>
        <w:t>Docente</w:t>
      </w:r>
      <w:r>
        <w:rPr>
          <w:rFonts w:ascii="Arial Narrow" w:hAnsi="Arial Narrow" w:cstheme="minorHAnsi"/>
        </w:rPr>
        <w:tab/>
      </w:r>
      <w:proofErr w:type="gramStart"/>
      <w:r w:rsidRPr="001D51F2">
        <w:rPr>
          <w:rFonts w:ascii="Arial Narrow" w:hAnsi="Arial Narrow" w:cstheme="minorHAnsi"/>
        </w:rPr>
        <w:t>:  Abg</w:t>
      </w:r>
      <w:proofErr w:type="gramEnd"/>
      <w:r w:rsidRPr="001D51F2">
        <w:rPr>
          <w:rFonts w:ascii="Arial Narrow" w:hAnsi="Arial Narrow" w:cstheme="minorHAnsi"/>
        </w:rPr>
        <w:t xml:space="preserve">. VILLARREAL </w:t>
      </w:r>
      <w:r w:rsidR="00942A1F" w:rsidRPr="001D51F2">
        <w:rPr>
          <w:rFonts w:ascii="Arial Narrow" w:hAnsi="Arial Narrow" w:cstheme="minorHAnsi"/>
        </w:rPr>
        <w:t>RODRÍGUEZ</w:t>
      </w:r>
      <w:r w:rsidRPr="001D51F2">
        <w:rPr>
          <w:rFonts w:ascii="Arial Narrow" w:hAnsi="Arial Narrow" w:cstheme="minorHAnsi"/>
        </w:rPr>
        <w:t>, ALDO</w:t>
      </w:r>
    </w:p>
    <w:p w:rsidR="00B36365" w:rsidRPr="001D51F2" w:rsidRDefault="00B36365" w:rsidP="00B36365">
      <w:pPr>
        <w:pStyle w:val="Prrafodelista"/>
        <w:tabs>
          <w:tab w:val="center" w:pos="4253"/>
        </w:tabs>
        <w:ind w:left="1080" w:right="-376" w:firstLine="196"/>
        <w:jc w:val="both"/>
        <w:rPr>
          <w:rFonts w:ascii="Arial Narrow" w:hAnsi="Arial Narrow" w:cstheme="minorHAnsi"/>
        </w:rPr>
      </w:pPr>
      <w:r w:rsidRPr="001D51F2">
        <w:rPr>
          <w:rFonts w:ascii="Arial Narrow" w:hAnsi="Arial Narrow" w:cstheme="minorHAnsi"/>
        </w:rPr>
        <w:t>Colegiatura</w:t>
      </w:r>
      <w:r>
        <w:rPr>
          <w:rFonts w:ascii="Arial Narrow" w:hAnsi="Arial Narrow" w:cstheme="minorHAnsi"/>
        </w:rPr>
        <w:tab/>
        <w:t xml:space="preserve">                        </w:t>
      </w:r>
      <w:proofErr w:type="gramStart"/>
      <w:r>
        <w:rPr>
          <w:rFonts w:ascii="Arial Narrow" w:hAnsi="Arial Narrow" w:cstheme="minorHAnsi"/>
        </w:rPr>
        <w:t>:</w:t>
      </w:r>
      <w:r w:rsidRPr="001D51F2">
        <w:rPr>
          <w:rFonts w:ascii="Arial Narrow" w:hAnsi="Arial Narrow" w:cstheme="minorHAnsi"/>
        </w:rPr>
        <w:t xml:space="preserve">  </w:t>
      </w:r>
      <w:proofErr w:type="spellStart"/>
      <w:r w:rsidRPr="001D51F2">
        <w:rPr>
          <w:rFonts w:ascii="Arial Narrow" w:hAnsi="Arial Narrow" w:cstheme="minorHAnsi"/>
        </w:rPr>
        <w:t>CAH</w:t>
      </w:r>
      <w:proofErr w:type="spellEnd"/>
      <w:proofErr w:type="gramEnd"/>
      <w:r w:rsidRPr="001D51F2">
        <w:rPr>
          <w:rFonts w:ascii="Arial Narrow" w:hAnsi="Arial Narrow" w:cstheme="minorHAnsi"/>
        </w:rPr>
        <w:t>. N° 441</w:t>
      </w:r>
    </w:p>
    <w:p w:rsidR="00B36365" w:rsidRPr="001D51F2" w:rsidRDefault="00B36365" w:rsidP="00B36365">
      <w:pPr>
        <w:pStyle w:val="Prrafodelista"/>
        <w:tabs>
          <w:tab w:val="left" w:pos="2410"/>
          <w:tab w:val="left" w:pos="4253"/>
        </w:tabs>
        <w:ind w:left="1080" w:right="-376" w:firstLine="196"/>
        <w:jc w:val="both"/>
        <w:rPr>
          <w:rFonts w:ascii="Arial Narrow" w:hAnsi="Arial Narrow" w:cstheme="minorHAnsi"/>
        </w:rPr>
      </w:pPr>
      <w:r w:rsidRPr="001D51F2">
        <w:rPr>
          <w:rFonts w:ascii="Arial Narrow" w:hAnsi="Arial Narrow" w:cstheme="minorHAnsi"/>
        </w:rPr>
        <w:t>Correo Electrónico</w:t>
      </w:r>
      <w:r>
        <w:rPr>
          <w:rFonts w:ascii="Arial Narrow" w:hAnsi="Arial Narrow" w:cstheme="minorHAnsi"/>
        </w:rPr>
        <w:tab/>
      </w:r>
      <w:r w:rsidRPr="001D51F2">
        <w:rPr>
          <w:rFonts w:ascii="Arial Narrow" w:hAnsi="Arial Narrow" w:cstheme="minorHAnsi"/>
        </w:rPr>
        <w:t xml:space="preserve">:  </w:t>
      </w:r>
      <w:hyperlink r:id="rId7" w:history="1">
        <w:r w:rsidRPr="001D51F2">
          <w:rPr>
            <w:rStyle w:val="Hipervnculo"/>
            <w:rFonts w:ascii="Arial Narrow" w:hAnsi="Arial Narrow" w:cstheme="minorHAnsi"/>
            <w:b/>
            <w:color w:val="auto"/>
          </w:rPr>
          <w:t>alvirro-24@hotmail.com</w:t>
        </w:r>
      </w:hyperlink>
      <w:r w:rsidRPr="001D51F2">
        <w:rPr>
          <w:rFonts w:ascii="Arial Narrow" w:hAnsi="Arial Narrow" w:cstheme="minorHAnsi"/>
        </w:rPr>
        <w:t xml:space="preserve"> </w:t>
      </w:r>
    </w:p>
    <w:p w:rsidR="00B36365" w:rsidRDefault="00B36365" w:rsidP="00477C37">
      <w:pPr>
        <w:pStyle w:val="Prrafodelista"/>
        <w:tabs>
          <w:tab w:val="center" w:pos="4253"/>
        </w:tabs>
        <w:ind w:left="1080" w:right="-376" w:firstLine="196"/>
        <w:jc w:val="both"/>
        <w:rPr>
          <w:rFonts w:ascii="Arial Narrow" w:hAnsi="Arial Narrow" w:cstheme="minorHAnsi"/>
        </w:rPr>
      </w:pPr>
      <w:r w:rsidRPr="001D51F2">
        <w:rPr>
          <w:rFonts w:ascii="Arial Narrow" w:hAnsi="Arial Narrow" w:cstheme="minorHAnsi"/>
        </w:rPr>
        <w:t>Celular</w:t>
      </w:r>
      <w:r>
        <w:rPr>
          <w:rFonts w:ascii="Arial Narrow" w:hAnsi="Arial Narrow" w:cstheme="minorHAnsi"/>
        </w:rPr>
        <w:tab/>
      </w:r>
      <w:r w:rsidR="00477C37">
        <w:rPr>
          <w:rFonts w:ascii="Arial Narrow" w:hAnsi="Arial Narrow" w:cstheme="minorHAnsi"/>
        </w:rPr>
        <w:t xml:space="preserve">                   </w:t>
      </w:r>
      <w:r>
        <w:rPr>
          <w:rFonts w:ascii="Arial Narrow" w:hAnsi="Arial Narrow" w:cstheme="minorHAnsi"/>
        </w:rPr>
        <w:t>: 944978981</w:t>
      </w:r>
    </w:p>
    <w:p w:rsidR="00B36365" w:rsidRPr="001D51F2" w:rsidRDefault="00B36365" w:rsidP="00B36365">
      <w:pPr>
        <w:pStyle w:val="Prrafodelista"/>
        <w:tabs>
          <w:tab w:val="center" w:pos="4253"/>
        </w:tabs>
        <w:ind w:left="1080" w:right="-376" w:firstLine="196"/>
        <w:jc w:val="both"/>
        <w:rPr>
          <w:rFonts w:ascii="Arial Narrow" w:hAnsi="Arial Narrow" w:cstheme="minorHAnsi"/>
        </w:rPr>
      </w:pPr>
    </w:p>
    <w:p w:rsidR="00B36365" w:rsidRDefault="00B36365" w:rsidP="00B36365">
      <w:pPr>
        <w:pStyle w:val="Prrafodelista"/>
        <w:numPr>
          <w:ilvl w:val="0"/>
          <w:numId w:val="1"/>
        </w:numPr>
        <w:tabs>
          <w:tab w:val="center" w:pos="4419"/>
          <w:tab w:val="left" w:pos="7800"/>
        </w:tabs>
        <w:ind w:right="-376"/>
        <w:jc w:val="both"/>
        <w:rPr>
          <w:rFonts w:ascii="Arial Narrow" w:hAnsi="Arial Narrow" w:cstheme="minorHAnsi"/>
          <w:b/>
          <w:u w:val="single"/>
        </w:rPr>
      </w:pPr>
      <w:r w:rsidRPr="001D51F2">
        <w:rPr>
          <w:rFonts w:ascii="Arial Narrow" w:hAnsi="Arial Narrow" w:cstheme="minorHAnsi"/>
          <w:b/>
          <w:u w:val="single"/>
        </w:rPr>
        <w:t>SUMILLA</w:t>
      </w:r>
    </w:p>
    <w:p w:rsidR="00B83906" w:rsidRDefault="00B83906" w:rsidP="00B83906">
      <w:pPr>
        <w:ind w:left="708"/>
        <w:jc w:val="both"/>
        <w:rPr>
          <w:rFonts w:ascii="Arial" w:hAnsi="Arial"/>
        </w:rPr>
      </w:pPr>
      <w:r>
        <w:rPr>
          <w:rFonts w:ascii="Arial" w:hAnsi="Arial"/>
        </w:rPr>
        <w:t>El curso trata sobre la redacción y el lenguaje jurídico, la narración  y su aplicación  a los documentos jurídicos, elementos de ortografía, gramática, fundamentos para redactar  documentos jurídicos, la interpretación</w:t>
      </w:r>
      <w:r w:rsidR="00FE5A1B">
        <w:rPr>
          <w:rFonts w:ascii="Arial" w:hAnsi="Arial"/>
        </w:rPr>
        <w:t xml:space="preserve"> jurídica, el razonamiento judicial </w:t>
      </w:r>
      <w:r>
        <w:rPr>
          <w:rFonts w:ascii="Arial" w:hAnsi="Arial"/>
        </w:rPr>
        <w:t>y la argumentación jurídica. Se les proporciona el conocimiento de principios, reglas, métodos y técnicas de argumentación jurídica.</w:t>
      </w:r>
    </w:p>
    <w:p w:rsidR="00B36365" w:rsidRPr="001D51F2" w:rsidRDefault="00B36365" w:rsidP="00B36365">
      <w:pPr>
        <w:pStyle w:val="Prrafodelista"/>
        <w:numPr>
          <w:ilvl w:val="0"/>
          <w:numId w:val="1"/>
        </w:numPr>
        <w:tabs>
          <w:tab w:val="center" w:pos="4419"/>
          <w:tab w:val="left" w:pos="7800"/>
        </w:tabs>
        <w:ind w:right="-376"/>
        <w:rPr>
          <w:rFonts w:ascii="Arial Narrow" w:hAnsi="Arial Narrow" w:cstheme="minorHAnsi"/>
          <w:b/>
          <w:u w:val="single"/>
        </w:rPr>
      </w:pPr>
      <w:r w:rsidRPr="001D51F2">
        <w:rPr>
          <w:rFonts w:ascii="Arial Narrow" w:hAnsi="Arial Narrow" w:cstheme="minorHAnsi"/>
          <w:b/>
          <w:u w:val="single"/>
        </w:rPr>
        <w:t>CONTENIDO TEMÁTICO</w:t>
      </w:r>
    </w:p>
    <w:tbl>
      <w:tblPr>
        <w:tblStyle w:val="Tablaconcuadrcula"/>
        <w:tblW w:w="10916" w:type="dxa"/>
        <w:tblInd w:w="-743" w:type="dxa"/>
        <w:tblLook w:val="04A0" w:firstRow="1" w:lastRow="0" w:firstColumn="1" w:lastColumn="0" w:noHBand="0" w:noVBand="1"/>
      </w:tblPr>
      <w:tblGrid>
        <w:gridCol w:w="998"/>
        <w:gridCol w:w="2830"/>
        <w:gridCol w:w="992"/>
        <w:gridCol w:w="6096"/>
      </w:tblGrid>
      <w:tr w:rsidR="00B36365" w:rsidRPr="001A16DF" w:rsidTr="00C74F34">
        <w:tc>
          <w:tcPr>
            <w:tcW w:w="10916" w:type="dxa"/>
            <w:gridSpan w:val="4"/>
          </w:tcPr>
          <w:p w:rsidR="00B36365" w:rsidRPr="001A16DF" w:rsidRDefault="00B36365" w:rsidP="00C74F34">
            <w:pPr>
              <w:jc w:val="center"/>
              <w:rPr>
                <w:rFonts w:ascii="Arial Narrow" w:hAnsi="Arial Narrow" w:cstheme="minorHAnsi"/>
                <w:b/>
              </w:rPr>
            </w:pPr>
            <w:r w:rsidRPr="001A16DF">
              <w:rPr>
                <w:rFonts w:ascii="Arial Narrow" w:hAnsi="Arial Narrow" w:cs="Arial"/>
                <w:b/>
                <w:u w:val="single"/>
              </w:rPr>
              <w:t>UNIDAD DE APRENDIZAJE Nº 01</w:t>
            </w:r>
          </w:p>
          <w:p w:rsidR="00B36365" w:rsidRPr="001A16DF" w:rsidRDefault="00DD4C26" w:rsidP="00C74F3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b/>
              </w:rPr>
              <w:t xml:space="preserve">REDACCIÓN </w:t>
            </w:r>
            <w:r w:rsidR="005D6376">
              <w:rPr>
                <w:rFonts w:ascii="Arial Narrow" w:hAnsi="Arial Narrow" w:cstheme="minorHAnsi"/>
                <w:b/>
              </w:rPr>
              <w:t>,</w:t>
            </w:r>
            <w:r>
              <w:rPr>
                <w:rFonts w:ascii="Arial Narrow" w:hAnsi="Arial Narrow" w:cstheme="minorHAnsi"/>
                <w:b/>
              </w:rPr>
              <w:t xml:space="preserve">Y LENGUAJE </w:t>
            </w:r>
            <w:r w:rsidR="00AF30A4">
              <w:rPr>
                <w:rFonts w:ascii="Arial Narrow" w:hAnsi="Arial Narrow" w:cstheme="minorHAnsi"/>
                <w:b/>
              </w:rPr>
              <w:t>JURÍDICO</w:t>
            </w:r>
          </w:p>
        </w:tc>
      </w:tr>
      <w:tr w:rsidR="00B36365" w:rsidRPr="001A16DF" w:rsidTr="00C74F34">
        <w:tc>
          <w:tcPr>
            <w:tcW w:w="998" w:type="dxa"/>
          </w:tcPr>
          <w:p w:rsidR="00B36365" w:rsidRPr="001A16DF" w:rsidRDefault="00B36365" w:rsidP="00C74F34">
            <w:pPr>
              <w:jc w:val="center"/>
              <w:rPr>
                <w:rFonts w:ascii="Arial Narrow" w:hAnsi="Arial Narrow" w:cs="Arial"/>
                <w:b/>
              </w:rPr>
            </w:pPr>
            <w:r w:rsidRPr="001A16DF">
              <w:rPr>
                <w:rFonts w:ascii="Arial Narrow" w:hAnsi="Arial Narrow" w:cs="Arial"/>
                <w:b/>
              </w:rPr>
              <w:t>SEMANA</w:t>
            </w:r>
          </w:p>
        </w:tc>
        <w:tc>
          <w:tcPr>
            <w:tcW w:w="2830" w:type="dxa"/>
          </w:tcPr>
          <w:p w:rsidR="00B36365" w:rsidRPr="001A16DF" w:rsidRDefault="00B36365" w:rsidP="00C74F34">
            <w:pPr>
              <w:rPr>
                <w:rFonts w:ascii="Arial Narrow" w:hAnsi="Arial Narrow" w:cs="Arial"/>
                <w:b/>
              </w:rPr>
            </w:pPr>
            <w:r w:rsidRPr="001A16DF">
              <w:rPr>
                <w:rFonts w:ascii="Arial Narrow" w:hAnsi="Arial Narrow" w:cs="Arial"/>
                <w:b/>
              </w:rPr>
              <w:t xml:space="preserve">CONTENIDOS  </w:t>
            </w:r>
            <w:r>
              <w:rPr>
                <w:rFonts w:ascii="Arial Narrow" w:hAnsi="Arial Narrow" w:cs="Arial"/>
                <w:b/>
              </w:rPr>
              <w:t>E</w:t>
            </w:r>
            <w:r w:rsidRPr="001A16DF">
              <w:rPr>
                <w:rFonts w:ascii="Arial Narrow" w:hAnsi="Arial Narrow" w:cs="Arial"/>
                <w:b/>
              </w:rPr>
              <w:t>SPECÍFICOS</w:t>
            </w:r>
          </w:p>
        </w:tc>
        <w:tc>
          <w:tcPr>
            <w:tcW w:w="992" w:type="dxa"/>
          </w:tcPr>
          <w:p w:rsidR="00B36365" w:rsidRPr="001A16DF" w:rsidRDefault="00B36365" w:rsidP="00C74F34">
            <w:pPr>
              <w:jc w:val="center"/>
              <w:rPr>
                <w:rFonts w:ascii="Arial Narrow" w:hAnsi="Arial Narrow" w:cs="Arial"/>
                <w:b/>
              </w:rPr>
            </w:pPr>
            <w:r w:rsidRPr="001A16DF">
              <w:rPr>
                <w:rFonts w:ascii="Arial Narrow" w:hAnsi="Arial Narrow" w:cs="Arial"/>
                <w:b/>
              </w:rPr>
              <w:t>SESIÓN</w:t>
            </w:r>
          </w:p>
        </w:tc>
        <w:tc>
          <w:tcPr>
            <w:tcW w:w="6096" w:type="dxa"/>
          </w:tcPr>
          <w:p w:rsidR="00B36365" w:rsidRPr="001A16DF" w:rsidRDefault="00B36365" w:rsidP="00C74F34">
            <w:pPr>
              <w:jc w:val="center"/>
              <w:rPr>
                <w:rFonts w:ascii="Arial Narrow" w:hAnsi="Arial Narrow" w:cs="Arial"/>
                <w:b/>
              </w:rPr>
            </w:pPr>
            <w:r w:rsidRPr="001A16DF">
              <w:rPr>
                <w:rFonts w:ascii="Arial Narrow" w:hAnsi="Arial Narrow" w:cs="Arial"/>
                <w:b/>
              </w:rPr>
              <w:t>CONTENIDOS ANALÍTICOS</w:t>
            </w:r>
          </w:p>
        </w:tc>
      </w:tr>
      <w:tr w:rsidR="00B36365" w:rsidRPr="001A16DF" w:rsidTr="00C74F34">
        <w:tc>
          <w:tcPr>
            <w:tcW w:w="998" w:type="dxa"/>
            <w:vMerge w:val="restart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A16DF">
              <w:rPr>
                <w:rFonts w:ascii="Arial Narrow" w:hAnsi="Arial Narrow"/>
                <w:b/>
              </w:rPr>
              <w:t>1era</w:t>
            </w:r>
            <w:proofErr w:type="spellEnd"/>
            <w:r w:rsidRPr="001A16D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30" w:type="dxa"/>
            <w:vMerge w:val="restart"/>
            <w:vAlign w:val="center"/>
          </w:tcPr>
          <w:p w:rsidR="00B36365" w:rsidRPr="001A16DF" w:rsidRDefault="00DD4C26" w:rsidP="00DD4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Redacción , lenguaje  jurídico  , narración y su aplicación a los documentos jurídicos </w:t>
            </w: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01</w:t>
            </w:r>
          </w:p>
        </w:tc>
        <w:tc>
          <w:tcPr>
            <w:tcW w:w="6096" w:type="dxa"/>
          </w:tcPr>
          <w:p w:rsidR="00B36365" w:rsidRPr="004634E2" w:rsidRDefault="005D6376" w:rsidP="00AF30A4">
            <w:pPr>
              <w:numPr>
                <w:ilvl w:val="1"/>
                <w:numId w:val="4"/>
              </w:numPr>
              <w:ind w:left="318" w:right="34" w:hanging="426"/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/>
                <w:sz w:val="20"/>
                <w:szCs w:val="20"/>
              </w:rPr>
              <w:t xml:space="preserve">La Redacción y su importancia </w:t>
            </w:r>
            <w:r w:rsidR="00B36365" w:rsidRPr="004634E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634E2">
              <w:rPr>
                <w:rFonts w:ascii="Arial Narrow" w:hAnsi="Arial Narrow"/>
                <w:sz w:val="20"/>
                <w:szCs w:val="20"/>
              </w:rPr>
              <w:t xml:space="preserve"> en el mundo del derecho </w:t>
            </w:r>
          </w:p>
        </w:tc>
      </w:tr>
      <w:tr w:rsidR="00B36365" w:rsidRPr="001A16DF" w:rsidTr="00C74F34">
        <w:tc>
          <w:tcPr>
            <w:tcW w:w="998" w:type="dxa"/>
            <w:vMerge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02</w:t>
            </w:r>
          </w:p>
        </w:tc>
        <w:tc>
          <w:tcPr>
            <w:tcW w:w="6096" w:type="dxa"/>
          </w:tcPr>
          <w:p w:rsidR="00B36365" w:rsidRPr="004634E2" w:rsidRDefault="00B36365" w:rsidP="00AF30A4">
            <w:pPr>
              <w:ind w:left="318" w:right="34" w:hanging="426"/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/>
                <w:b/>
                <w:sz w:val="20"/>
                <w:szCs w:val="20"/>
              </w:rPr>
              <w:t>1.2</w:t>
            </w:r>
            <w:r w:rsidRPr="004634E2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AF30A4" w:rsidRPr="004634E2">
              <w:rPr>
                <w:rFonts w:ascii="Arial Narrow" w:hAnsi="Arial Narrow"/>
                <w:sz w:val="20"/>
                <w:szCs w:val="20"/>
              </w:rPr>
              <w:t xml:space="preserve"> Eficacia  de la redacción: recomendaciones generales para una óptima redacción </w:t>
            </w:r>
          </w:p>
        </w:tc>
      </w:tr>
      <w:tr w:rsidR="00B36365" w:rsidRPr="001A16DF" w:rsidTr="00C74F34">
        <w:tc>
          <w:tcPr>
            <w:tcW w:w="998" w:type="dxa"/>
            <w:vMerge w:val="restart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A16DF">
              <w:rPr>
                <w:rFonts w:ascii="Arial Narrow" w:hAnsi="Arial Narrow"/>
                <w:b/>
              </w:rPr>
              <w:t>2da</w:t>
            </w:r>
            <w:proofErr w:type="spellEnd"/>
            <w:r w:rsidRPr="001A16D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03</w:t>
            </w:r>
          </w:p>
        </w:tc>
        <w:tc>
          <w:tcPr>
            <w:tcW w:w="6096" w:type="dxa"/>
          </w:tcPr>
          <w:p w:rsidR="00B36365" w:rsidRPr="004634E2" w:rsidRDefault="00B36365" w:rsidP="00AF30A4">
            <w:pPr>
              <w:ind w:left="318" w:right="34" w:hanging="426"/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sz w:val="20"/>
                <w:szCs w:val="20"/>
              </w:rPr>
              <w:t>1.3.</w:t>
            </w:r>
            <w:r w:rsidRPr="004634E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F30A4" w:rsidRPr="004634E2">
              <w:rPr>
                <w:rFonts w:ascii="Arial Narrow" w:hAnsi="Arial Narrow" w:cs="Arial"/>
                <w:sz w:val="20"/>
                <w:szCs w:val="20"/>
              </w:rPr>
              <w:t xml:space="preserve"> El lenguaje jurídico: funciones y finalidad</w:t>
            </w:r>
            <w:r w:rsidR="005D6376" w:rsidRPr="004634E2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</w:tr>
      <w:tr w:rsidR="00B36365" w:rsidRPr="001A16DF" w:rsidTr="00C74F34">
        <w:tc>
          <w:tcPr>
            <w:tcW w:w="998" w:type="dxa"/>
            <w:vMerge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04</w:t>
            </w:r>
          </w:p>
        </w:tc>
        <w:tc>
          <w:tcPr>
            <w:tcW w:w="6096" w:type="dxa"/>
          </w:tcPr>
          <w:p w:rsidR="00B36365" w:rsidRPr="004634E2" w:rsidRDefault="00B36365" w:rsidP="00AF30A4">
            <w:pPr>
              <w:ind w:left="318" w:right="34" w:hanging="426"/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="005D6376" w:rsidRPr="004634E2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4634E2">
              <w:rPr>
                <w:rFonts w:ascii="Arial Narrow" w:hAnsi="Arial Narrow"/>
                <w:b/>
                <w:sz w:val="20"/>
                <w:szCs w:val="20"/>
              </w:rPr>
              <w:t>.</w:t>
            </w:r>
            <w:r w:rsidRPr="004634E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F30A4" w:rsidRPr="004634E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F30A4" w:rsidRPr="004634E2">
              <w:rPr>
                <w:rFonts w:ascii="Arial Narrow" w:hAnsi="Arial Narrow" w:cs="Arial"/>
                <w:sz w:val="20"/>
                <w:szCs w:val="20"/>
              </w:rPr>
              <w:t xml:space="preserve">Clasificación del lenguaje jurídico, tecnicismos en el lenguaje jurídico </w:t>
            </w:r>
            <w:r w:rsidR="005D6376" w:rsidRPr="004634E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634E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B36365" w:rsidRPr="001A16DF" w:rsidTr="00C74F34">
        <w:tc>
          <w:tcPr>
            <w:tcW w:w="998" w:type="dxa"/>
            <w:vMerge w:val="restart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A16DF">
              <w:rPr>
                <w:rFonts w:ascii="Arial Narrow" w:hAnsi="Arial Narrow"/>
                <w:b/>
              </w:rPr>
              <w:t>3ra</w:t>
            </w:r>
            <w:proofErr w:type="spellEnd"/>
            <w:r w:rsidRPr="001A16D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05</w:t>
            </w:r>
          </w:p>
        </w:tc>
        <w:tc>
          <w:tcPr>
            <w:tcW w:w="6096" w:type="dxa"/>
          </w:tcPr>
          <w:p w:rsidR="00B36365" w:rsidRPr="004634E2" w:rsidRDefault="00B36365" w:rsidP="00AF30A4">
            <w:pPr>
              <w:pStyle w:val="Prrafodelista"/>
              <w:tabs>
                <w:tab w:val="center" w:pos="4419"/>
                <w:tab w:val="left" w:pos="7800"/>
              </w:tabs>
              <w:ind w:left="318" w:right="34" w:hanging="42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>1.</w:t>
            </w:r>
            <w:r w:rsidR="005D6376"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>5</w:t>
            </w: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Pr="004634E2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AF30A4" w:rsidRPr="004634E2">
              <w:rPr>
                <w:rFonts w:ascii="Arial Narrow" w:hAnsi="Arial Narrow" w:cs="Arial"/>
                <w:sz w:val="20"/>
                <w:szCs w:val="20"/>
              </w:rPr>
              <w:t>Tipos y anomalías del lenguaje jurídico</w:t>
            </w:r>
            <w:r w:rsidRPr="004634E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B36365" w:rsidRPr="001A16DF" w:rsidTr="00C74F34">
        <w:tc>
          <w:tcPr>
            <w:tcW w:w="998" w:type="dxa"/>
            <w:vMerge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06</w:t>
            </w:r>
          </w:p>
        </w:tc>
        <w:tc>
          <w:tcPr>
            <w:tcW w:w="6096" w:type="dxa"/>
          </w:tcPr>
          <w:p w:rsidR="00B36365" w:rsidRPr="004634E2" w:rsidRDefault="00B36365" w:rsidP="00AF30A4">
            <w:pPr>
              <w:tabs>
                <w:tab w:val="left" w:pos="459"/>
              </w:tabs>
              <w:ind w:left="318" w:right="34" w:hanging="426"/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>1.</w:t>
            </w:r>
            <w:r w:rsidR="005D6376"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>6</w:t>
            </w: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</w:t>
            </w:r>
            <w:r w:rsidR="00AF30A4"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AF30A4" w:rsidRPr="004634E2">
              <w:rPr>
                <w:rFonts w:ascii="Arial Narrow" w:hAnsi="Arial Narrow" w:cs="Arial"/>
                <w:bCs/>
                <w:sz w:val="20"/>
                <w:szCs w:val="20"/>
              </w:rPr>
              <w:t>La narración  concepto y estructura</w:t>
            </w:r>
            <w:r w:rsidR="00AF30A4"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36365" w:rsidRPr="001A16DF" w:rsidTr="00C74F34">
        <w:tc>
          <w:tcPr>
            <w:tcW w:w="998" w:type="dxa"/>
            <w:vMerge w:val="restart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A16DF">
              <w:rPr>
                <w:rFonts w:ascii="Arial Narrow" w:hAnsi="Arial Narrow"/>
                <w:b/>
              </w:rPr>
              <w:t>4ta</w:t>
            </w:r>
            <w:proofErr w:type="spellEnd"/>
            <w:r w:rsidRPr="001A16D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07</w:t>
            </w:r>
          </w:p>
        </w:tc>
        <w:tc>
          <w:tcPr>
            <w:tcW w:w="6096" w:type="dxa"/>
          </w:tcPr>
          <w:p w:rsidR="00B36365" w:rsidRPr="004634E2" w:rsidRDefault="00B36365" w:rsidP="00AF30A4">
            <w:pPr>
              <w:tabs>
                <w:tab w:val="left" w:pos="459"/>
              </w:tabs>
              <w:ind w:left="318" w:right="34" w:hanging="426"/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>1.</w:t>
            </w:r>
            <w:r w:rsidR="005D6376"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>7</w:t>
            </w: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  <w:r w:rsidRPr="004634E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AF30A4" w:rsidRPr="004634E2">
              <w:rPr>
                <w:rFonts w:ascii="Arial Narrow" w:hAnsi="Arial Narrow" w:cs="Arial"/>
                <w:bCs/>
                <w:sz w:val="20"/>
                <w:szCs w:val="20"/>
              </w:rPr>
              <w:t xml:space="preserve">La narrativa forense </w:t>
            </w:r>
          </w:p>
        </w:tc>
      </w:tr>
      <w:tr w:rsidR="00B36365" w:rsidRPr="001A16DF" w:rsidTr="00C74F34">
        <w:tc>
          <w:tcPr>
            <w:tcW w:w="998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08</w:t>
            </w:r>
          </w:p>
        </w:tc>
        <w:tc>
          <w:tcPr>
            <w:tcW w:w="6096" w:type="dxa"/>
          </w:tcPr>
          <w:p w:rsidR="00B36365" w:rsidRPr="004634E2" w:rsidRDefault="00B36365" w:rsidP="00AF30A4">
            <w:pPr>
              <w:tabs>
                <w:tab w:val="left" w:pos="459"/>
              </w:tabs>
              <w:ind w:left="318" w:right="34" w:hanging="426"/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>1.</w:t>
            </w:r>
            <w:r w:rsidR="005D6376"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>8</w:t>
            </w: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. </w:t>
            </w:r>
            <w:r w:rsidR="00AF30A4" w:rsidRPr="004634E2">
              <w:rPr>
                <w:rFonts w:ascii="Arial Narrow" w:hAnsi="Arial Narrow" w:cs="Arial"/>
                <w:bCs/>
                <w:sz w:val="20"/>
                <w:szCs w:val="20"/>
              </w:rPr>
              <w:t>El párrafo</w:t>
            </w:r>
            <w:r w:rsidR="00AF30A4"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36365" w:rsidRPr="001A16DF" w:rsidTr="00C74F34">
        <w:tc>
          <w:tcPr>
            <w:tcW w:w="10916" w:type="dxa"/>
            <w:gridSpan w:val="4"/>
          </w:tcPr>
          <w:p w:rsidR="00B36365" w:rsidRPr="001A16DF" w:rsidRDefault="00B36365" w:rsidP="00C74F34">
            <w:pPr>
              <w:tabs>
                <w:tab w:val="right" w:pos="73"/>
              </w:tabs>
              <w:ind w:hanging="2"/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1A16DF">
              <w:rPr>
                <w:rFonts w:ascii="Arial Narrow" w:hAnsi="Arial Narrow" w:cs="Arial"/>
                <w:b/>
                <w:u w:val="single"/>
              </w:rPr>
              <w:t>UNIDAD DE APRENDIZAJE Nº 02</w:t>
            </w:r>
          </w:p>
          <w:p w:rsidR="00B36365" w:rsidRPr="001A16DF" w:rsidRDefault="00AF30A4" w:rsidP="00C74F3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theme="minorHAnsi"/>
                <w:b/>
              </w:rPr>
              <w:t xml:space="preserve">ELEMENTOS DE ORTOGRAFÍA Y GRAMÁTICA </w:t>
            </w:r>
          </w:p>
        </w:tc>
      </w:tr>
      <w:tr w:rsidR="00B36365" w:rsidRPr="001A16DF" w:rsidTr="00C74F34">
        <w:tc>
          <w:tcPr>
            <w:tcW w:w="998" w:type="dxa"/>
            <w:vMerge w:val="restart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A16DF">
              <w:rPr>
                <w:rFonts w:ascii="Arial Narrow" w:hAnsi="Arial Narrow"/>
                <w:b/>
              </w:rPr>
              <w:t>5ta</w:t>
            </w:r>
            <w:proofErr w:type="spellEnd"/>
            <w:r w:rsidRPr="001A16D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30" w:type="dxa"/>
            <w:vMerge w:val="restart"/>
            <w:vAlign w:val="center"/>
          </w:tcPr>
          <w:p w:rsidR="00B36365" w:rsidRPr="001A16DF" w:rsidRDefault="00DD4C26" w:rsidP="00DD4C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Elementos de ortografía </w:t>
            </w:r>
            <w:r w:rsidR="00B3636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y gramática </w:t>
            </w:r>
            <w:r w:rsidR="00B3636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utilizados fundamentalmente  para redactar documentos jurídicos  </w:t>
            </w: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09</w:t>
            </w:r>
          </w:p>
        </w:tc>
        <w:tc>
          <w:tcPr>
            <w:tcW w:w="6096" w:type="dxa"/>
          </w:tcPr>
          <w:p w:rsidR="00B36365" w:rsidRPr="004634E2" w:rsidRDefault="00B36365" w:rsidP="00FD1B54">
            <w:pPr>
              <w:tabs>
                <w:tab w:val="left" w:pos="296"/>
                <w:tab w:val="left" w:pos="459"/>
              </w:tabs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2.1. </w:t>
            </w:r>
            <w:r w:rsidR="00FD1B54" w:rsidRPr="004634E2">
              <w:rPr>
                <w:rFonts w:ascii="Arial Narrow" w:hAnsi="Arial Narrow" w:cs="Arial"/>
                <w:bCs/>
                <w:sz w:val="20"/>
                <w:szCs w:val="20"/>
              </w:rPr>
              <w:t>L</w:t>
            </w:r>
            <w:r w:rsidR="00AF30A4" w:rsidRPr="004634E2">
              <w:rPr>
                <w:rFonts w:ascii="Arial Narrow" w:hAnsi="Arial Narrow" w:cs="Arial"/>
                <w:bCs/>
                <w:sz w:val="20"/>
                <w:szCs w:val="20"/>
              </w:rPr>
              <w:t xml:space="preserve">a ortografía en la redacción  </w:t>
            </w:r>
            <w:r w:rsidR="00FD1B54" w:rsidRPr="004634E2">
              <w:rPr>
                <w:rFonts w:ascii="Arial Narrow" w:hAnsi="Arial Narrow" w:cs="Arial"/>
                <w:bCs/>
                <w:sz w:val="20"/>
                <w:szCs w:val="20"/>
              </w:rPr>
              <w:t xml:space="preserve">de documentos jurídicos </w:t>
            </w:r>
          </w:p>
        </w:tc>
      </w:tr>
      <w:tr w:rsidR="00B36365" w:rsidRPr="001A16DF" w:rsidTr="00C74F34">
        <w:tc>
          <w:tcPr>
            <w:tcW w:w="998" w:type="dxa"/>
            <w:vMerge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6096" w:type="dxa"/>
          </w:tcPr>
          <w:p w:rsidR="00B36365" w:rsidRPr="004634E2" w:rsidRDefault="00B36365" w:rsidP="00FD1B54">
            <w:pPr>
              <w:tabs>
                <w:tab w:val="left" w:pos="296"/>
                <w:tab w:val="left" w:pos="459"/>
              </w:tabs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>2.2.</w:t>
            </w:r>
            <w:r w:rsidRPr="004634E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D1B54" w:rsidRPr="004634E2">
              <w:rPr>
                <w:rFonts w:ascii="Arial Narrow" w:hAnsi="Arial Narrow" w:cs="Arial"/>
                <w:bCs/>
                <w:sz w:val="20"/>
                <w:szCs w:val="20"/>
              </w:rPr>
              <w:t xml:space="preserve">La gramática como herramienta  del abogado: las palabras  </w:t>
            </w:r>
            <w:r w:rsidRPr="004634E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</w:tc>
      </w:tr>
      <w:tr w:rsidR="00B36365" w:rsidRPr="001A16DF" w:rsidTr="00C74F34">
        <w:tc>
          <w:tcPr>
            <w:tcW w:w="998" w:type="dxa"/>
            <w:vMerge w:val="restart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A16DF">
              <w:rPr>
                <w:rFonts w:ascii="Arial Narrow" w:hAnsi="Arial Narrow"/>
                <w:b/>
              </w:rPr>
              <w:t>6ta</w:t>
            </w:r>
            <w:proofErr w:type="spellEnd"/>
            <w:r w:rsidRPr="001A16D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6096" w:type="dxa"/>
          </w:tcPr>
          <w:p w:rsidR="00B36365" w:rsidRPr="004634E2" w:rsidRDefault="00B36365" w:rsidP="00FD1B54">
            <w:pPr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>2.3.</w:t>
            </w:r>
            <w:r w:rsidRPr="004634E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FD1B54" w:rsidRPr="004634E2">
              <w:rPr>
                <w:rFonts w:ascii="Arial Narrow" w:hAnsi="Arial Narrow" w:cs="Arial"/>
                <w:bCs/>
                <w:sz w:val="20"/>
                <w:szCs w:val="20"/>
              </w:rPr>
              <w:t xml:space="preserve">Ortografía y gramática en los documentos  jurídicos :conectores lógicos  o ilativos ; uso de las letras mayúsculas , numerales cardinales y ordinales </w:t>
            </w:r>
          </w:p>
        </w:tc>
      </w:tr>
      <w:tr w:rsidR="00B36365" w:rsidRPr="001A16DF" w:rsidTr="00C74F34">
        <w:tc>
          <w:tcPr>
            <w:tcW w:w="998" w:type="dxa"/>
            <w:vMerge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12</w:t>
            </w:r>
          </w:p>
        </w:tc>
        <w:tc>
          <w:tcPr>
            <w:tcW w:w="6096" w:type="dxa"/>
          </w:tcPr>
          <w:p w:rsidR="00B36365" w:rsidRPr="004634E2" w:rsidRDefault="00B36365" w:rsidP="00942A1F">
            <w:pPr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sz w:val="20"/>
                <w:szCs w:val="20"/>
              </w:rPr>
              <w:t>2.4.</w:t>
            </w:r>
            <w:r w:rsidRPr="004634E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42A1F">
              <w:rPr>
                <w:rFonts w:ascii="Arial Narrow" w:hAnsi="Arial Narrow" w:cs="Arial"/>
                <w:sz w:val="20"/>
                <w:szCs w:val="20"/>
              </w:rPr>
              <w:t>L</w:t>
            </w:r>
            <w:r w:rsidR="00FD1B54" w:rsidRPr="004634E2">
              <w:rPr>
                <w:rFonts w:ascii="Arial Narrow" w:hAnsi="Arial Narrow" w:cs="Arial"/>
                <w:sz w:val="20"/>
                <w:szCs w:val="20"/>
              </w:rPr>
              <w:t>os signos de puntuación</w:t>
            </w:r>
            <w:r w:rsidR="00DD27B2" w:rsidRPr="004634E2">
              <w:rPr>
                <w:rFonts w:ascii="Arial Narrow" w:hAnsi="Arial Narrow" w:cs="Arial"/>
                <w:sz w:val="20"/>
                <w:szCs w:val="20"/>
              </w:rPr>
              <w:t xml:space="preserve">: la  coma, el punto y coma , los dos puntos, las comillas ,los paréntesis ; las dos rayas; el punto </w:t>
            </w:r>
          </w:p>
        </w:tc>
      </w:tr>
      <w:tr w:rsidR="00B36365" w:rsidRPr="001A16DF" w:rsidTr="00C74F34">
        <w:tc>
          <w:tcPr>
            <w:tcW w:w="998" w:type="dxa"/>
            <w:vMerge w:val="restart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A16DF">
              <w:rPr>
                <w:rFonts w:ascii="Arial Narrow" w:hAnsi="Arial Narrow"/>
                <w:b/>
              </w:rPr>
              <w:lastRenderedPageBreak/>
              <w:t>7ma</w:t>
            </w:r>
            <w:proofErr w:type="spellEnd"/>
            <w:r w:rsidRPr="001A16D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6096" w:type="dxa"/>
          </w:tcPr>
          <w:p w:rsidR="00B36365" w:rsidRPr="004634E2" w:rsidRDefault="00B36365" w:rsidP="00DD27B2">
            <w:pPr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>2.5.</w:t>
            </w:r>
            <w:r w:rsidRPr="004634E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DD27B2" w:rsidRPr="004634E2">
              <w:rPr>
                <w:rFonts w:ascii="Arial Narrow" w:hAnsi="Arial Narrow" w:cs="Arial"/>
                <w:bCs/>
                <w:sz w:val="20"/>
                <w:szCs w:val="20"/>
              </w:rPr>
              <w:t xml:space="preserve">El uso del gerundio </w:t>
            </w:r>
          </w:p>
        </w:tc>
      </w:tr>
      <w:tr w:rsidR="00B36365" w:rsidRPr="001A16DF" w:rsidTr="00C74F34">
        <w:tc>
          <w:tcPr>
            <w:tcW w:w="998" w:type="dxa"/>
            <w:vMerge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6096" w:type="dxa"/>
          </w:tcPr>
          <w:p w:rsidR="00B36365" w:rsidRPr="004634E2" w:rsidRDefault="00B36365" w:rsidP="00DD27B2">
            <w:pPr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sz w:val="20"/>
                <w:szCs w:val="20"/>
              </w:rPr>
              <w:t>2.6.</w:t>
            </w:r>
            <w:r w:rsidRPr="004634E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D27B2" w:rsidRPr="004634E2">
              <w:rPr>
                <w:rFonts w:ascii="Arial Narrow" w:hAnsi="Arial Narrow" w:cs="Arial"/>
                <w:bCs/>
                <w:sz w:val="20"/>
                <w:szCs w:val="20"/>
              </w:rPr>
              <w:t>Uso controvertido  de algunos vocablos en el lenguaje jurídico</w:t>
            </w:r>
            <w:r w:rsidRPr="004634E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</w:tc>
      </w:tr>
      <w:tr w:rsidR="00B36365" w:rsidRPr="001A16DF" w:rsidTr="00C74F34">
        <w:tc>
          <w:tcPr>
            <w:tcW w:w="998" w:type="dxa"/>
            <w:vMerge w:val="restart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A16DF">
              <w:rPr>
                <w:rFonts w:ascii="Arial Narrow" w:hAnsi="Arial Narrow"/>
                <w:b/>
              </w:rPr>
              <w:t>8va</w:t>
            </w:r>
            <w:proofErr w:type="spellEnd"/>
            <w:r w:rsidRPr="001A16D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6096" w:type="dxa"/>
          </w:tcPr>
          <w:p w:rsidR="00B36365" w:rsidRPr="004634E2" w:rsidRDefault="00B36365" w:rsidP="00DD27B2">
            <w:pPr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>2.7.</w:t>
            </w:r>
            <w:r w:rsidRPr="004634E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D27B2" w:rsidRPr="004634E2">
              <w:rPr>
                <w:rFonts w:ascii="Arial Narrow" w:hAnsi="Arial Narrow"/>
                <w:sz w:val="20"/>
                <w:szCs w:val="20"/>
              </w:rPr>
              <w:t xml:space="preserve">Fundamentos para redactar </w:t>
            </w:r>
            <w:r w:rsidRPr="004634E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D27B2" w:rsidRPr="004634E2">
              <w:rPr>
                <w:rFonts w:ascii="Arial Narrow" w:hAnsi="Arial Narrow"/>
                <w:sz w:val="20"/>
                <w:szCs w:val="20"/>
              </w:rPr>
              <w:t xml:space="preserve"> documentos jurídicos </w:t>
            </w:r>
          </w:p>
        </w:tc>
      </w:tr>
      <w:tr w:rsidR="00B36365" w:rsidRPr="001A16DF" w:rsidTr="00C74F34">
        <w:tc>
          <w:tcPr>
            <w:tcW w:w="998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6096" w:type="dxa"/>
          </w:tcPr>
          <w:p w:rsidR="00B36365" w:rsidRPr="004634E2" w:rsidRDefault="004634E2" w:rsidP="00DD27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34E2">
              <w:rPr>
                <w:rFonts w:ascii="Arial Narrow" w:hAnsi="Arial Narrow"/>
                <w:b/>
                <w:sz w:val="20"/>
                <w:szCs w:val="20"/>
              </w:rPr>
              <w:t xml:space="preserve">EXAMEN PARCIAL </w:t>
            </w:r>
          </w:p>
        </w:tc>
      </w:tr>
      <w:tr w:rsidR="00B36365" w:rsidRPr="001A16DF" w:rsidTr="00C74F34">
        <w:tc>
          <w:tcPr>
            <w:tcW w:w="10916" w:type="dxa"/>
            <w:gridSpan w:val="4"/>
          </w:tcPr>
          <w:p w:rsidR="00B36365" w:rsidRPr="001A16DF" w:rsidRDefault="00B36365" w:rsidP="00C74F34">
            <w:pPr>
              <w:ind w:left="636" w:hanging="567"/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1A16DF">
              <w:rPr>
                <w:rFonts w:ascii="Arial Narrow" w:hAnsi="Arial Narrow" w:cs="Arial"/>
                <w:b/>
                <w:u w:val="single"/>
              </w:rPr>
              <w:t>UNIDAD DE APRENDIZAJE Nº 03</w:t>
            </w:r>
          </w:p>
          <w:p w:rsidR="00B36365" w:rsidRPr="001A16DF" w:rsidRDefault="00EA6EAF" w:rsidP="00EA6EA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" w:hAnsi="Arial"/>
              </w:rPr>
              <w:t>LA INTERPRETACIÓN JURÍDICA Y  EL RAZONAMIENTO JUDICIAL</w:t>
            </w:r>
          </w:p>
        </w:tc>
      </w:tr>
      <w:tr w:rsidR="00B36365" w:rsidRPr="001A16DF" w:rsidTr="00C74F34">
        <w:tc>
          <w:tcPr>
            <w:tcW w:w="998" w:type="dxa"/>
            <w:vMerge w:val="restart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A16DF">
              <w:rPr>
                <w:rFonts w:ascii="Arial Narrow" w:hAnsi="Arial Narrow"/>
                <w:b/>
              </w:rPr>
              <w:t>9na</w:t>
            </w:r>
            <w:proofErr w:type="spellEnd"/>
            <w:r w:rsidRPr="001A16D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30" w:type="dxa"/>
            <w:vMerge w:val="restart"/>
            <w:vAlign w:val="center"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 xml:space="preserve">La </w:t>
            </w:r>
            <w:r w:rsidR="00EA6EAF">
              <w:rPr>
                <w:rFonts w:ascii="Arial" w:hAnsi="Arial"/>
              </w:rPr>
              <w:t>interpretación jurídica y  el razonamiento judicial</w:t>
            </w: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17</w:t>
            </w:r>
          </w:p>
        </w:tc>
        <w:tc>
          <w:tcPr>
            <w:tcW w:w="6096" w:type="dxa"/>
          </w:tcPr>
          <w:p w:rsidR="00B36365" w:rsidRPr="004634E2" w:rsidRDefault="00B36365" w:rsidP="002D2BCC">
            <w:pPr>
              <w:ind w:right="34"/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3.1. </w:t>
            </w:r>
            <w:r w:rsidRPr="004634E2">
              <w:rPr>
                <w:rFonts w:ascii="Arial Narrow" w:hAnsi="Arial Narrow" w:cstheme="minorHAnsi"/>
                <w:sz w:val="20"/>
                <w:szCs w:val="20"/>
              </w:rPr>
              <w:t xml:space="preserve">La </w:t>
            </w:r>
            <w:r w:rsidR="00EA6EAF" w:rsidRPr="004634E2">
              <w:rPr>
                <w:rFonts w:ascii="Arial Narrow" w:hAnsi="Arial Narrow" w:cstheme="minorHAnsi"/>
                <w:sz w:val="20"/>
                <w:szCs w:val="20"/>
              </w:rPr>
              <w:t xml:space="preserve">interpretación Jurídica :teorías </w:t>
            </w:r>
          </w:p>
        </w:tc>
      </w:tr>
      <w:tr w:rsidR="00B36365" w:rsidRPr="001A16DF" w:rsidTr="00C74F34">
        <w:tc>
          <w:tcPr>
            <w:tcW w:w="998" w:type="dxa"/>
            <w:vMerge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6096" w:type="dxa"/>
          </w:tcPr>
          <w:p w:rsidR="00B36365" w:rsidRPr="004634E2" w:rsidRDefault="00B36365" w:rsidP="002D2BCC">
            <w:pPr>
              <w:pStyle w:val="Prrafodelista"/>
              <w:tabs>
                <w:tab w:val="center" w:pos="4419"/>
                <w:tab w:val="left" w:pos="7800"/>
              </w:tabs>
              <w:ind w:left="34" w:righ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/>
                <w:b/>
                <w:sz w:val="20"/>
                <w:szCs w:val="20"/>
              </w:rPr>
              <w:t>3.2.</w:t>
            </w:r>
            <w:r w:rsidRPr="004634E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D2BCC" w:rsidRPr="004634E2">
              <w:rPr>
                <w:rFonts w:ascii="Arial Narrow" w:hAnsi="Arial Narrow" w:cstheme="minorHAnsi"/>
                <w:sz w:val="20"/>
                <w:szCs w:val="20"/>
              </w:rPr>
              <w:t xml:space="preserve">Clases de interpretación: Formal, material y pragmática </w:t>
            </w:r>
          </w:p>
        </w:tc>
      </w:tr>
      <w:tr w:rsidR="00B36365" w:rsidRPr="001A16DF" w:rsidTr="00C74F34">
        <w:tc>
          <w:tcPr>
            <w:tcW w:w="998" w:type="dxa"/>
            <w:vMerge w:val="restart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A16DF">
              <w:rPr>
                <w:rFonts w:ascii="Arial Narrow" w:hAnsi="Arial Narrow"/>
                <w:b/>
              </w:rPr>
              <w:t>10ma</w:t>
            </w:r>
            <w:proofErr w:type="spellEnd"/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6096" w:type="dxa"/>
          </w:tcPr>
          <w:p w:rsidR="00B36365" w:rsidRPr="004634E2" w:rsidRDefault="00B36365" w:rsidP="002D2BCC">
            <w:pPr>
              <w:pStyle w:val="Prrafodelista"/>
              <w:tabs>
                <w:tab w:val="center" w:pos="4419"/>
                <w:tab w:val="left" w:pos="7800"/>
              </w:tabs>
              <w:ind w:left="0" w:right="34" w:firstLine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3.3. </w:t>
            </w:r>
            <w:r w:rsidRPr="004634E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D2BCC" w:rsidRPr="004634E2">
              <w:rPr>
                <w:rFonts w:ascii="Arial Narrow" w:hAnsi="Arial Narrow" w:cstheme="minorHAnsi"/>
                <w:sz w:val="20"/>
                <w:szCs w:val="20"/>
              </w:rPr>
              <w:t xml:space="preserve">Los métodos de la interpretación </w:t>
            </w:r>
          </w:p>
        </w:tc>
      </w:tr>
      <w:tr w:rsidR="00B36365" w:rsidRPr="001A16DF" w:rsidTr="00C74F34">
        <w:tc>
          <w:tcPr>
            <w:tcW w:w="998" w:type="dxa"/>
            <w:vMerge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6096" w:type="dxa"/>
          </w:tcPr>
          <w:p w:rsidR="00B36365" w:rsidRPr="004634E2" w:rsidRDefault="00B36365" w:rsidP="00B6639F">
            <w:pPr>
              <w:ind w:right="34"/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3.4. </w:t>
            </w:r>
            <w:r w:rsidR="00B6639F" w:rsidRPr="004634E2">
              <w:rPr>
                <w:rFonts w:ascii="Arial Narrow" w:hAnsi="Arial Narrow" w:cs="Arial"/>
                <w:bCs/>
                <w:sz w:val="20"/>
                <w:szCs w:val="20"/>
              </w:rPr>
              <w:t xml:space="preserve">La coherencia , vacío legal </w:t>
            </w: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B6639F" w:rsidRPr="004634E2">
              <w:rPr>
                <w:rFonts w:ascii="Arial Narrow" w:hAnsi="Arial Narrow" w:cs="Arial"/>
                <w:bCs/>
                <w:sz w:val="20"/>
                <w:szCs w:val="20"/>
              </w:rPr>
              <w:t>, la analogía</w:t>
            </w:r>
            <w:r w:rsidR="00B6639F"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, </w:t>
            </w:r>
            <w:r w:rsidR="00B6639F" w:rsidRPr="004634E2">
              <w:rPr>
                <w:rFonts w:ascii="Arial Narrow" w:hAnsi="Arial Narrow" w:cs="Arial"/>
                <w:bCs/>
                <w:sz w:val="20"/>
                <w:szCs w:val="20"/>
              </w:rPr>
              <w:t>los principios generales del derecho</w:t>
            </w:r>
            <w:r w:rsidR="00B6639F"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36365" w:rsidRPr="001A16DF" w:rsidTr="00C74F34">
        <w:tc>
          <w:tcPr>
            <w:tcW w:w="998" w:type="dxa"/>
            <w:vMerge w:val="restart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A16DF">
              <w:rPr>
                <w:rFonts w:ascii="Arial Narrow" w:hAnsi="Arial Narrow"/>
                <w:b/>
              </w:rPr>
              <w:t>11era</w:t>
            </w:r>
            <w:proofErr w:type="spellEnd"/>
            <w:r w:rsidRPr="001A16D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21</w:t>
            </w:r>
          </w:p>
        </w:tc>
        <w:tc>
          <w:tcPr>
            <w:tcW w:w="6096" w:type="dxa"/>
          </w:tcPr>
          <w:p w:rsidR="00B36365" w:rsidRPr="004634E2" w:rsidRDefault="00B36365" w:rsidP="00B6639F">
            <w:pPr>
              <w:pStyle w:val="Prrafodelista"/>
              <w:tabs>
                <w:tab w:val="center" w:pos="4419"/>
                <w:tab w:val="left" w:pos="7800"/>
              </w:tabs>
              <w:ind w:left="34" w:right="34" w:hanging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/>
                <w:b/>
                <w:sz w:val="20"/>
                <w:szCs w:val="20"/>
              </w:rPr>
              <w:t>3.5.</w:t>
            </w:r>
            <w:r w:rsidRPr="004634E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B6639F" w:rsidRPr="004634E2">
              <w:rPr>
                <w:rFonts w:ascii="Arial Narrow" w:hAnsi="Arial Narrow" w:cstheme="minorHAnsi"/>
                <w:sz w:val="20"/>
                <w:szCs w:val="20"/>
              </w:rPr>
              <w:t xml:space="preserve">El sistema normativo : Vaguedad y ambigüedad </w:t>
            </w:r>
            <w:r w:rsidR="00157D92" w:rsidRPr="004634E2"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</w:p>
        </w:tc>
      </w:tr>
      <w:tr w:rsidR="00B36365" w:rsidRPr="001A16DF" w:rsidTr="00C74F34">
        <w:tc>
          <w:tcPr>
            <w:tcW w:w="998" w:type="dxa"/>
            <w:vMerge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22</w:t>
            </w:r>
          </w:p>
        </w:tc>
        <w:tc>
          <w:tcPr>
            <w:tcW w:w="6096" w:type="dxa"/>
          </w:tcPr>
          <w:p w:rsidR="00B36365" w:rsidRPr="004634E2" w:rsidRDefault="00B36365" w:rsidP="003254B5">
            <w:pPr>
              <w:ind w:right="34"/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>3.6.</w:t>
            </w:r>
            <w:r w:rsidRPr="004634E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57D92" w:rsidRPr="004634E2">
              <w:rPr>
                <w:rFonts w:ascii="Arial Narrow" w:hAnsi="Arial Narrow"/>
                <w:sz w:val="20"/>
                <w:szCs w:val="20"/>
              </w:rPr>
              <w:t>El Razonamiento Judicial : Aspectos descriptivos de la motivación , La ponderación judicial </w:t>
            </w:r>
          </w:p>
        </w:tc>
      </w:tr>
      <w:tr w:rsidR="00B36365" w:rsidRPr="001A16DF" w:rsidTr="00C74F34">
        <w:tc>
          <w:tcPr>
            <w:tcW w:w="998" w:type="dxa"/>
            <w:vMerge w:val="restart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A16DF">
              <w:rPr>
                <w:rFonts w:ascii="Arial Narrow" w:hAnsi="Arial Narrow"/>
                <w:b/>
              </w:rPr>
              <w:t>12da</w:t>
            </w:r>
            <w:proofErr w:type="spellEnd"/>
            <w:r w:rsidRPr="001A16D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6096" w:type="dxa"/>
          </w:tcPr>
          <w:p w:rsidR="00B36365" w:rsidRPr="004634E2" w:rsidRDefault="00B36365" w:rsidP="00942A1F">
            <w:pPr>
              <w:ind w:right="34"/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/>
                <w:b/>
                <w:sz w:val="20"/>
                <w:szCs w:val="20"/>
              </w:rPr>
              <w:t>3.7.</w:t>
            </w:r>
            <w:r w:rsidRPr="004634E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42A1F">
              <w:rPr>
                <w:rFonts w:ascii="Arial Narrow" w:hAnsi="Arial Narrow"/>
                <w:sz w:val="20"/>
                <w:szCs w:val="20"/>
              </w:rPr>
              <w:t>E</w:t>
            </w:r>
            <w:r w:rsidR="005147FF" w:rsidRPr="004634E2">
              <w:rPr>
                <w:rFonts w:ascii="Arial Narrow" w:hAnsi="Arial Narrow"/>
                <w:sz w:val="20"/>
                <w:szCs w:val="20"/>
              </w:rPr>
              <w:t xml:space="preserve">l razonamiento judicial la </w:t>
            </w:r>
            <w:r w:rsidR="003254B5" w:rsidRPr="004634E2">
              <w:rPr>
                <w:rFonts w:ascii="Arial Narrow" w:hAnsi="Arial Narrow"/>
                <w:sz w:val="20"/>
                <w:szCs w:val="20"/>
              </w:rPr>
              <w:t xml:space="preserve">lógica y el pensamiento  en los </w:t>
            </w:r>
            <w:r w:rsidR="00B6639F" w:rsidRPr="004634E2">
              <w:rPr>
                <w:rFonts w:ascii="Arial Narrow" w:hAnsi="Arial Narrow"/>
                <w:sz w:val="20"/>
                <w:szCs w:val="20"/>
              </w:rPr>
              <w:t xml:space="preserve">problemas de interpretación </w:t>
            </w:r>
            <w:r w:rsidRPr="004634E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36365" w:rsidRPr="001A16DF" w:rsidTr="00C74F34">
        <w:tc>
          <w:tcPr>
            <w:tcW w:w="998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24</w:t>
            </w:r>
          </w:p>
        </w:tc>
        <w:tc>
          <w:tcPr>
            <w:tcW w:w="6096" w:type="dxa"/>
          </w:tcPr>
          <w:p w:rsidR="00B36365" w:rsidRPr="004634E2" w:rsidRDefault="00B36365" w:rsidP="003254B5">
            <w:pPr>
              <w:pStyle w:val="Prrafodelista"/>
              <w:tabs>
                <w:tab w:val="center" w:pos="4419"/>
                <w:tab w:val="left" w:pos="7800"/>
              </w:tabs>
              <w:ind w:left="34" w:hanging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>3.8.</w:t>
            </w:r>
            <w:r w:rsidRPr="004634E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3254B5" w:rsidRPr="004634E2">
              <w:rPr>
                <w:rFonts w:ascii="Arial Narrow" w:hAnsi="Arial Narrow" w:cs="Arial"/>
                <w:bCs/>
                <w:sz w:val="20"/>
                <w:szCs w:val="20"/>
              </w:rPr>
              <w:t xml:space="preserve">La interpretación de la ley penal: concepto, clases y métodos  de interpretación </w:t>
            </w:r>
          </w:p>
        </w:tc>
      </w:tr>
      <w:tr w:rsidR="00B36365" w:rsidRPr="001A16DF" w:rsidTr="00C74F34">
        <w:tc>
          <w:tcPr>
            <w:tcW w:w="10916" w:type="dxa"/>
            <w:gridSpan w:val="4"/>
          </w:tcPr>
          <w:p w:rsidR="00B36365" w:rsidRPr="00C1563F" w:rsidRDefault="00B36365" w:rsidP="00C74F34">
            <w:pPr>
              <w:tabs>
                <w:tab w:val="right" w:pos="73"/>
              </w:tabs>
              <w:ind w:hanging="2"/>
              <w:jc w:val="center"/>
              <w:rPr>
                <w:rFonts w:ascii="Arial Narrow" w:hAnsi="Arial Narrow" w:cs="Arial"/>
                <w:b/>
                <w:sz w:val="20"/>
                <w:u w:val="single"/>
              </w:rPr>
            </w:pPr>
            <w:r w:rsidRPr="00C1563F">
              <w:rPr>
                <w:rFonts w:ascii="Arial Narrow" w:hAnsi="Arial Narrow" w:cs="Arial"/>
                <w:b/>
                <w:sz w:val="20"/>
                <w:u w:val="single"/>
              </w:rPr>
              <w:t>UNIDAD DE APRENDIZAJE Nº 04</w:t>
            </w:r>
          </w:p>
          <w:p w:rsidR="00B36365" w:rsidRPr="004634E2" w:rsidRDefault="00B6639F" w:rsidP="00B6639F">
            <w:pPr>
              <w:pStyle w:val="Prrafodelista"/>
              <w:tabs>
                <w:tab w:val="center" w:pos="4419"/>
                <w:tab w:val="left" w:pos="7800"/>
              </w:tabs>
              <w:ind w:right="-376"/>
              <w:jc w:val="center"/>
              <w:rPr>
                <w:rFonts w:ascii="Arial Narrow" w:hAnsi="Arial Narrow" w:cstheme="minorHAnsi"/>
                <w:b/>
              </w:rPr>
            </w:pPr>
            <w:r w:rsidRPr="004634E2">
              <w:rPr>
                <w:rFonts w:ascii="Arial Narrow" w:hAnsi="Arial Narrow" w:cstheme="minorHAnsi"/>
                <w:b/>
              </w:rPr>
              <w:t>LA ARGUMENTACIÓN JURÍDICA</w:t>
            </w:r>
          </w:p>
          <w:p w:rsidR="00B36365" w:rsidRPr="00C1563F" w:rsidRDefault="00B36365" w:rsidP="00C74F34">
            <w:pPr>
              <w:rPr>
                <w:rFonts w:ascii="Arial Narrow" w:hAnsi="Arial Narrow" w:cs="Arial"/>
                <w:b/>
                <w:bCs/>
                <w:sz w:val="20"/>
              </w:rPr>
            </w:pPr>
          </w:p>
        </w:tc>
      </w:tr>
      <w:tr w:rsidR="00B36365" w:rsidRPr="001A16DF" w:rsidTr="00C74F34">
        <w:tc>
          <w:tcPr>
            <w:tcW w:w="998" w:type="dxa"/>
            <w:vMerge w:val="restart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A16DF">
              <w:rPr>
                <w:rFonts w:ascii="Arial Narrow" w:hAnsi="Arial Narrow"/>
                <w:b/>
              </w:rPr>
              <w:t>13era</w:t>
            </w:r>
            <w:proofErr w:type="spellEnd"/>
            <w:r w:rsidRPr="001A16D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30" w:type="dxa"/>
            <w:vMerge w:val="restart"/>
            <w:vAlign w:val="center"/>
          </w:tcPr>
          <w:p w:rsidR="00B36365" w:rsidRPr="001A16DF" w:rsidRDefault="00B36365" w:rsidP="003254B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</w:t>
            </w:r>
            <w:r w:rsidR="003254B5">
              <w:rPr>
                <w:rFonts w:ascii="Arial Narrow" w:hAnsi="Arial Narrow"/>
              </w:rPr>
              <w:t xml:space="preserve"> argumentación jurídica </w:t>
            </w: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6096" w:type="dxa"/>
          </w:tcPr>
          <w:p w:rsidR="00B36365" w:rsidRPr="004634E2" w:rsidRDefault="00B36365" w:rsidP="007967BF">
            <w:pPr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4.1. </w:t>
            </w:r>
            <w:r w:rsidR="007967BF" w:rsidRPr="004634E2">
              <w:rPr>
                <w:rFonts w:ascii="Arial Narrow" w:hAnsi="Arial Narrow"/>
                <w:sz w:val="20"/>
                <w:szCs w:val="20"/>
              </w:rPr>
              <w:t>Argumentación : Características de la argumentación , El objeto de la argumentación y Los fines de la argumentación</w:t>
            </w:r>
          </w:p>
        </w:tc>
      </w:tr>
      <w:tr w:rsidR="00B36365" w:rsidRPr="001A16DF" w:rsidTr="00C74F34">
        <w:tc>
          <w:tcPr>
            <w:tcW w:w="998" w:type="dxa"/>
            <w:vMerge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26</w:t>
            </w:r>
          </w:p>
        </w:tc>
        <w:tc>
          <w:tcPr>
            <w:tcW w:w="6096" w:type="dxa"/>
          </w:tcPr>
          <w:p w:rsidR="00B36365" w:rsidRPr="004634E2" w:rsidRDefault="00B36365" w:rsidP="007967BF">
            <w:pPr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>4.2.</w:t>
            </w:r>
            <w:r w:rsidRPr="004634E2">
              <w:rPr>
                <w:rFonts w:ascii="Arial Narrow" w:hAnsi="Arial Narrow" w:cs="Arial"/>
                <w:bCs/>
                <w:sz w:val="20"/>
                <w:szCs w:val="20"/>
              </w:rPr>
              <w:t xml:space="preserve">  </w:t>
            </w:r>
            <w:r w:rsidR="007967BF" w:rsidRPr="004634E2">
              <w:rPr>
                <w:rFonts w:ascii="Arial Narrow" w:hAnsi="Arial Narrow" w:cstheme="minorHAnsi"/>
                <w:sz w:val="20"/>
                <w:szCs w:val="20"/>
              </w:rPr>
              <w:t>El argumento: Clasificación de argumentos, Modelos de argumentos.</w:t>
            </w:r>
          </w:p>
        </w:tc>
      </w:tr>
      <w:tr w:rsidR="00B36365" w:rsidRPr="001A16DF" w:rsidTr="00C74F34">
        <w:tc>
          <w:tcPr>
            <w:tcW w:w="998" w:type="dxa"/>
            <w:vMerge w:val="restart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A16DF">
              <w:rPr>
                <w:rFonts w:ascii="Arial Narrow" w:hAnsi="Arial Narrow"/>
                <w:b/>
              </w:rPr>
              <w:t>14ta</w:t>
            </w:r>
            <w:proofErr w:type="spellEnd"/>
            <w:r w:rsidRPr="001A16D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27</w:t>
            </w:r>
          </w:p>
        </w:tc>
        <w:tc>
          <w:tcPr>
            <w:tcW w:w="6096" w:type="dxa"/>
          </w:tcPr>
          <w:p w:rsidR="00B36365" w:rsidRPr="004634E2" w:rsidRDefault="00B36365" w:rsidP="006E044D">
            <w:pPr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4.3. </w:t>
            </w:r>
            <w:r w:rsidR="006E044D" w:rsidRPr="004634E2">
              <w:rPr>
                <w:rFonts w:ascii="Arial Narrow" w:hAnsi="Arial Narrow" w:cstheme="minorHAnsi"/>
                <w:sz w:val="20"/>
                <w:szCs w:val="20"/>
              </w:rPr>
              <w:t xml:space="preserve">Elementos , características y tipos  de argumentación </w:t>
            </w:r>
            <w:r w:rsidR="007967BF" w:rsidRPr="004634E2">
              <w:rPr>
                <w:rFonts w:ascii="Arial Narrow" w:hAnsi="Arial Narrow" w:cstheme="minorHAnsi"/>
                <w:sz w:val="20"/>
                <w:szCs w:val="20"/>
              </w:rPr>
              <w:t> </w:t>
            </w:r>
          </w:p>
        </w:tc>
      </w:tr>
      <w:tr w:rsidR="00B36365" w:rsidRPr="001A16DF" w:rsidTr="00C74F34">
        <w:tc>
          <w:tcPr>
            <w:tcW w:w="998" w:type="dxa"/>
            <w:vMerge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6096" w:type="dxa"/>
          </w:tcPr>
          <w:p w:rsidR="00B36365" w:rsidRPr="004634E2" w:rsidRDefault="00B36365" w:rsidP="007967BF">
            <w:pPr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>4.4.</w:t>
            </w:r>
            <w:r w:rsidRPr="004634E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7967BF" w:rsidRPr="004634E2">
              <w:rPr>
                <w:rFonts w:ascii="Arial Narrow" w:hAnsi="Arial Narrow" w:cstheme="minorHAnsi"/>
                <w:sz w:val="20"/>
                <w:szCs w:val="20"/>
              </w:rPr>
              <w:t>Análisis y evaluación de argumentos , Refutación de la argumentación , El debate argumentativo </w:t>
            </w:r>
          </w:p>
        </w:tc>
      </w:tr>
      <w:tr w:rsidR="00B36365" w:rsidRPr="001A16DF" w:rsidTr="00C74F34">
        <w:tc>
          <w:tcPr>
            <w:tcW w:w="998" w:type="dxa"/>
            <w:vMerge w:val="restart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A16DF">
              <w:rPr>
                <w:rFonts w:ascii="Arial Narrow" w:hAnsi="Arial Narrow"/>
                <w:b/>
              </w:rPr>
              <w:t>15ta</w:t>
            </w:r>
            <w:proofErr w:type="spellEnd"/>
            <w:r w:rsidRPr="001A16D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29</w:t>
            </w:r>
          </w:p>
        </w:tc>
        <w:tc>
          <w:tcPr>
            <w:tcW w:w="6096" w:type="dxa"/>
          </w:tcPr>
          <w:p w:rsidR="00B36365" w:rsidRPr="004634E2" w:rsidRDefault="00B36365" w:rsidP="007967BF">
            <w:pPr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>4.5.</w:t>
            </w:r>
            <w:r w:rsidR="007967BF"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7967BF" w:rsidRPr="004634E2">
              <w:rPr>
                <w:rFonts w:ascii="Arial Narrow" w:hAnsi="Arial Narrow" w:cs="Arial"/>
                <w:bCs/>
                <w:sz w:val="20"/>
                <w:szCs w:val="20"/>
              </w:rPr>
              <w:t xml:space="preserve">La </w:t>
            </w:r>
            <w:r w:rsidR="007967BF" w:rsidRPr="004634E2">
              <w:rPr>
                <w:rFonts w:ascii="Arial Narrow" w:hAnsi="Arial Narrow"/>
                <w:sz w:val="20"/>
                <w:szCs w:val="20"/>
              </w:rPr>
              <w:t>argumentación jurídica : Características de la argumentación jurídica , Los fines de la argumentación jurídica</w:t>
            </w:r>
            <w:r w:rsidR="006E044D" w:rsidRPr="004634E2">
              <w:rPr>
                <w:rFonts w:ascii="Arial Narrow" w:hAnsi="Arial Narrow"/>
                <w:sz w:val="20"/>
                <w:szCs w:val="20"/>
              </w:rPr>
              <w:t xml:space="preserve">, Fines, tipos y falacias </w:t>
            </w:r>
          </w:p>
        </w:tc>
      </w:tr>
      <w:tr w:rsidR="00B36365" w:rsidRPr="001A16DF" w:rsidTr="00C74F34">
        <w:tc>
          <w:tcPr>
            <w:tcW w:w="998" w:type="dxa"/>
            <w:vMerge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6096" w:type="dxa"/>
          </w:tcPr>
          <w:p w:rsidR="00B36365" w:rsidRPr="004634E2" w:rsidRDefault="00B36365" w:rsidP="003254B5">
            <w:pPr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>4.6.</w:t>
            </w:r>
            <w:r w:rsidRPr="004634E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="00D157E6" w:rsidRPr="004634E2">
              <w:rPr>
                <w:rFonts w:ascii="Arial Narrow" w:hAnsi="Arial Narrow" w:cs="Arial"/>
                <w:bCs/>
                <w:sz w:val="20"/>
                <w:szCs w:val="20"/>
              </w:rPr>
              <w:t xml:space="preserve">La importancia de la argumentación jurídica en el ejercicio profesional, Distinción entre la argumentación del juez y la del abogado, Momentos en los que argumenta el abogado, </w:t>
            </w:r>
          </w:p>
        </w:tc>
      </w:tr>
      <w:tr w:rsidR="00B36365" w:rsidRPr="001A16DF" w:rsidTr="00C74F34">
        <w:tc>
          <w:tcPr>
            <w:tcW w:w="998" w:type="dxa"/>
            <w:vMerge w:val="restart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A16DF">
              <w:rPr>
                <w:rFonts w:ascii="Arial Narrow" w:hAnsi="Arial Narrow"/>
                <w:b/>
              </w:rPr>
              <w:t>16e</w:t>
            </w:r>
            <w:r>
              <w:rPr>
                <w:rFonts w:ascii="Arial Narrow" w:hAnsi="Arial Narrow"/>
                <w:b/>
              </w:rPr>
              <w:t>x</w:t>
            </w:r>
            <w:r w:rsidRPr="001A16DF">
              <w:rPr>
                <w:rFonts w:ascii="Arial Narrow" w:hAnsi="Arial Narrow"/>
                <w:b/>
              </w:rPr>
              <w:t>ta</w:t>
            </w:r>
            <w:proofErr w:type="spellEnd"/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31</w:t>
            </w:r>
          </w:p>
        </w:tc>
        <w:tc>
          <w:tcPr>
            <w:tcW w:w="6096" w:type="dxa"/>
          </w:tcPr>
          <w:p w:rsidR="00B36365" w:rsidRPr="004634E2" w:rsidRDefault="00B36365" w:rsidP="006E044D">
            <w:pPr>
              <w:rPr>
                <w:rFonts w:ascii="Arial Narrow" w:hAnsi="Arial Narrow"/>
                <w:sz w:val="20"/>
                <w:szCs w:val="20"/>
              </w:rPr>
            </w:pPr>
            <w:r w:rsidRPr="004634E2">
              <w:rPr>
                <w:rFonts w:ascii="Arial Narrow" w:hAnsi="Arial Narrow" w:cs="Arial"/>
                <w:b/>
                <w:bCs/>
                <w:sz w:val="20"/>
                <w:szCs w:val="20"/>
              </w:rPr>
              <w:t>4.7.</w:t>
            </w:r>
            <w:r w:rsidR="00D157E6" w:rsidRPr="004634E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157E6" w:rsidRPr="004634E2">
              <w:rPr>
                <w:rFonts w:ascii="Arial Narrow" w:hAnsi="Arial Narrow" w:cs="Arial"/>
                <w:bCs/>
                <w:sz w:val="20"/>
                <w:szCs w:val="20"/>
              </w:rPr>
              <w:t>La argumentación del Juez  : La motivación de la Sentencia , Distinción entre motivación, justificación, explicación y fundamentación </w:t>
            </w:r>
            <w:r w:rsidR="006E044D" w:rsidRPr="004634E2">
              <w:rPr>
                <w:rFonts w:ascii="Arial Narrow" w:hAnsi="Arial Narrow" w:cs="Arial"/>
                <w:bCs/>
                <w:sz w:val="20"/>
                <w:szCs w:val="20"/>
              </w:rPr>
              <w:t>,máxima</w:t>
            </w:r>
            <w:r w:rsidR="00942A1F">
              <w:rPr>
                <w:rFonts w:ascii="Arial Narrow" w:hAnsi="Arial Narrow" w:cs="Arial"/>
                <w:bCs/>
                <w:sz w:val="20"/>
                <w:szCs w:val="20"/>
              </w:rPr>
              <w:t>s</w:t>
            </w:r>
            <w:r w:rsidR="006E044D" w:rsidRPr="004634E2">
              <w:rPr>
                <w:rFonts w:ascii="Arial Narrow" w:hAnsi="Arial Narrow" w:cs="Arial"/>
                <w:bCs/>
                <w:sz w:val="20"/>
                <w:szCs w:val="20"/>
              </w:rPr>
              <w:t xml:space="preserve"> de la experiencia, congruencia y errores in cognitando  </w:t>
            </w:r>
            <w:r w:rsidR="00D157E6" w:rsidRPr="004634E2">
              <w:rPr>
                <w:rFonts w:ascii="Arial Narrow" w:hAnsi="Arial Narrow" w:cs="Arial"/>
                <w:bCs/>
                <w:sz w:val="20"/>
                <w:szCs w:val="20"/>
              </w:rPr>
              <w:t xml:space="preserve">  </w:t>
            </w:r>
          </w:p>
        </w:tc>
      </w:tr>
      <w:tr w:rsidR="00B36365" w:rsidRPr="001A16DF" w:rsidTr="00C74F34">
        <w:tc>
          <w:tcPr>
            <w:tcW w:w="998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2830" w:type="dxa"/>
            <w:vMerge/>
          </w:tcPr>
          <w:p w:rsidR="00B36365" w:rsidRPr="001A16DF" w:rsidRDefault="00B36365" w:rsidP="00C74F34">
            <w:pPr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B36365" w:rsidRPr="001A16DF" w:rsidRDefault="00B36365" w:rsidP="00C74F34">
            <w:pPr>
              <w:jc w:val="center"/>
              <w:rPr>
                <w:rFonts w:ascii="Arial Narrow" w:hAnsi="Arial Narrow"/>
                <w:b/>
              </w:rPr>
            </w:pPr>
            <w:r w:rsidRPr="001A16DF">
              <w:rPr>
                <w:rFonts w:ascii="Arial Narrow" w:hAnsi="Arial Narrow"/>
                <w:b/>
              </w:rPr>
              <w:t>32</w:t>
            </w:r>
          </w:p>
        </w:tc>
        <w:tc>
          <w:tcPr>
            <w:tcW w:w="6096" w:type="dxa"/>
          </w:tcPr>
          <w:p w:rsidR="00B36365" w:rsidRPr="00C1563F" w:rsidRDefault="00157D92" w:rsidP="00157D92">
            <w:pPr>
              <w:rPr>
                <w:rFonts w:ascii="Arial Narrow" w:hAnsi="Arial Narrow"/>
                <w:sz w:val="20"/>
              </w:rPr>
            </w:pPr>
            <w:r w:rsidRPr="001A16DF">
              <w:rPr>
                <w:rFonts w:ascii="Arial Narrow" w:hAnsi="Arial Narrow"/>
                <w:b/>
              </w:rPr>
              <w:t>EXAMEN FINAL</w:t>
            </w:r>
          </w:p>
        </w:tc>
      </w:tr>
    </w:tbl>
    <w:p w:rsidR="00B36365" w:rsidRPr="00C1563F" w:rsidRDefault="00B36365" w:rsidP="00B36365">
      <w:pPr>
        <w:pStyle w:val="Prrafodelista"/>
        <w:numPr>
          <w:ilvl w:val="0"/>
          <w:numId w:val="1"/>
        </w:numPr>
        <w:tabs>
          <w:tab w:val="center" w:pos="4419"/>
          <w:tab w:val="left" w:pos="7800"/>
        </w:tabs>
        <w:spacing w:line="360" w:lineRule="auto"/>
        <w:ind w:right="-376"/>
        <w:jc w:val="both"/>
        <w:rPr>
          <w:rFonts w:ascii="Arial Narrow" w:hAnsi="Arial Narrow" w:cstheme="minorHAnsi"/>
        </w:rPr>
      </w:pPr>
      <w:r w:rsidRPr="00C1563F">
        <w:rPr>
          <w:rFonts w:ascii="Arial Narrow" w:hAnsi="Arial Narrow" w:cstheme="minorHAnsi"/>
          <w:b/>
          <w:u w:val="single"/>
        </w:rPr>
        <w:t>METODOLOGÍA DE ENSEÑANZA</w:t>
      </w:r>
    </w:p>
    <w:p w:rsidR="00B36365" w:rsidRPr="00C1563F" w:rsidRDefault="00B36365" w:rsidP="007967BF">
      <w:pPr>
        <w:pStyle w:val="Prrafodelista"/>
        <w:tabs>
          <w:tab w:val="center" w:pos="4419"/>
          <w:tab w:val="left" w:pos="7800"/>
        </w:tabs>
        <w:spacing w:line="360" w:lineRule="auto"/>
        <w:ind w:right="-376"/>
        <w:jc w:val="both"/>
        <w:rPr>
          <w:rFonts w:ascii="Arial Narrow" w:hAnsi="Arial Narrow" w:cstheme="minorHAnsi"/>
        </w:rPr>
      </w:pPr>
      <w:r w:rsidRPr="00C1563F">
        <w:rPr>
          <w:rFonts w:ascii="Arial Narrow" w:hAnsi="Arial Narrow" w:cstheme="minorHAnsi"/>
        </w:rPr>
        <w:t>El método de la enseñanza es la clase interactiva</w:t>
      </w:r>
      <w:r w:rsidR="003254B5">
        <w:rPr>
          <w:rFonts w:ascii="Arial Narrow" w:hAnsi="Arial Narrow" w:cstheme="minorHAnsi"/>
        </w:rPr>
        <w:t>, y</w:t>
      </w:r>
      <w:r w:rsidRPr="00C1563F">
        <w:rPr>
          <w:rFonts w:ascii="Arial Narrow" w:hAnsi="Arial Narrow" w:cstheme="minorHAnsi"/>
        </w:rPr>
        <w:t xml:space="preserve"> se lleva a cabo simultáneamente entre teorías y prácticas controlada mediante </w:t>
      </w:r>
      <w:r>
        <w:rPr>
          <w:rFonts w:ascii="Arial Narrow" w:hAnsi="Arial Narrow" w:cstheme="minorHAnsi"/>
        </w:rPr>
        <w:t xml:space="preserve">evaluaciones orales </w:t>
      </w:r>
      <w:r w:rsidRPr="00C1563F">
        <w:rPr>
          <w:rFonts w:ascii="Arial Narrow" w:hAnsi="Arial Narrow" w:cstheme="minorHAnsi"/>
        </w:rPr>
        <w:t xml:space="preserve"> y escritos</w:t>
      </w:r>
      <w:r>
        <w:rPr>
          <w:rFonts w:ascii="Arial Narrow" w:hAnsi="Arial Narrow" w:cstheme="minorHAnsi"/>
        </w:rPr>
        <w:t>,</w:t>
      </w:r>
      <w:r w:rsidRPr="00C1563F">
        <w:rPr>
          <w:rFonts w:ascii="Arial Narrow" w:hAnsi="Arial Narrow" w:cstheme="minorHAnsi"/>
        </w:rPr>
        <w:t xml:space="preserve"> que se toman todas las clases respecto de las unidades temáticas desarrolladas con anterioridad.</w:t>
      </w:r>
    </w:p>
    <w:p w:rsidR="00B36365" w:rsidRPr="001D51F2" w:rsidRDefault="00B36365" w:rsidP="00B36365">
      <w:pPr>
        <w:pStyle w:val="Prrafodelista"/>
        <w:tabs>
          <w:tab w:val="center" w:pos="4419"/>
          <w:tab w:val="left" w:pos="7800"/>
        </w:tabs>
        <w:spacing w:line="360" w:lineRule="auto"/>
        <w:ind w:right="-376"/>
        <w:jc w:val="both"/>
        <w:rPr>
          <w:rFonts w:ascii="Arial Narrow" w:hAnsi="Arial Narrow" w:cstheme="minorHAnsi"/>
        </w:rPr>
      </w:pPr>
      <w:r w:rsidRPr="001D51F2">
        <w:rPr>
          <w:rFonts w:ascii="Arial Narrow" w:hAnsi="Arial Narrow" w:cstheme="minorHAnsi"/>
        </w:rPr>
        <w:t>El alu</w:t>
      </w:r>
      <w:r>
        <w:rPr>
          <w:rFonts w:ascii="Arial Narrow" w:hAnsi="Arial Narrow" w:cstheme="minorHAnsi"/>
        </w:rPr>
        <w:t>m</w:t>
      </w:r>
      <w:r w:rsidRPr="001D51F2">
        <w:rPr>
          <w:rFonts w:ascii="Arial Narrow" w:hAnsi="Arial Narrow" w:cstheme="minorHAnsi"/>
        </w:rPr>
        <w:t>no en la exposición y discusión de casos y ejemplos utilizara el método inductivo</w:t>
      </w:r>
      <w:r w:rsidR="003254B5">
        <w:rPr>
          <w:rFonts w:ascii="Arial Narrow" w:hAnsi="Arial Narrow" w:cstheme="minorHAnsi"/>
        </w:rPr>
        <w:t xml:space="preserve"> y </w:t>
      </w:r>
      <w:r w:rsidR="00942A1F">
        <w:rPr>
          <w:rFonts w:ascii="Arial Narrow" w:hAnsi="Arial Narrow" w:cstheme="minorHAnsi"/>
        </w:rPr>
        <w:t xml:space="preserve">deductivo. </w:t>
      </w:r>
      <w:r w:rsidRPr="001D51F2">
        <w:rPr>
          <w:rFonts w:ascii="Arial Narrow" w:hAnsi="Arial Narrow" w:cstheme="minorHAnsi"/>
        </w:rPr>
        <w:t>Se busca su participación activa en clases.</w:t>
      </w:r>
    </w:p>
    <w:p w:rsidR="00B36365" w:rsidRDefault="00B36365" w:rsidP="00B36365">
      <w:pPr>
        <w:pStyle w:val="Prrafodelista"/>
        <w:numPr>
          <w:ilvl w:val="0"/>
          <w:numId w:val="1"/>
        </w:numPr>
        <w:tabs>
          <w:tab w:val="center" w:pos="4419"/>
          <w:tab w:val="left" w:pos="7800"/>
        </w:tabs>
        <w:spacing w:line="360" w:lineRule="auto"/>
        <w:ind w:right="-376"/>
        <w:rPr>
          <w:rFonts w:ascii="Arial Narrow" w:hAnsi="Arial Narrow" w:cstheme="minorHAnsi"/>
          <w:b/>
          <w:u w:val="single"/>
        </w:rPr>
      </w:pPr>
      <w:r w:rsidRPr="001D51F2">
        <w:rPr>
          <w:rFonts w:ascii="Arial Narrow" w:hAnsi="Arial Narrow" w:cstheme="minorHAnsi"/>
          <w:b/>
          <w:u w:val="single"/>
        </w:rPr>
        <w:t>METODOLOGÍA DE EVALUACIÓN</w:t>
      </w:r>
    </w:p>
    <w:p w:rsidR="00B36365" w:rsidRPr="001D51F2" w:rsidRDefault="00B36365" w:rsidP="00B36365">
      <w:pPr>
        <w:pStyle w:val="Prrafodelista"/>
        <w:tabs>
          <w:tab w:val="center" w:pos="4419"/>
          <w:tab w:val="left" w:pos="7800"/>
        </w:tabs>
        <w:spacing w:line="360" w:lineRule="auto"/>
        <w:ind w:right="-376"/>
        <w:jc w:val="both"/>
        <w:rPr>
          <w:rFonts w:ascii="Arial Narrow" w:hAnsi="Arial Narrow" w:cstheme="minorHAnsi"/>
        </w:rPr>
      </w:pPr>
      <w:r w:rsidRPr="001D51F2">
        <w:rPr>
          <w:rFonts w:ascii="Arial Narrow" w:hAnsi="Arial Narrow" w:cstheme="minorHAnsi"/>
        </w:rPr>
        <w:t xml:space="preserve">De acuerdo al reglamento académico, el control de evaluación incluye exámenes  orales y escritos durante el periodo académico; un examen parcial, y un examen final, </w:t>
      </w:r>
      <w:r>
        <w:rPr>
          <w:rFonts w:ascii="Arial Narrow" w:hAnsi="Arial Narrow" w:cstheme="minorHAnsi"/>
        </w:rPr>
        <w:t xml:space="preserve">controles de lecturas, etc. </w:t>
      </w:r>
      <w:r w:rsidRPr="001D51F2">
        <w:rPr>
          <w:rFonts w:ascii="Arial Narrow" w:hAnsi="Arial Narrow" w:cstheme="minorHAnsi"/>
        </w:rPr>
        <w:t>cuyas notas se promedian con la de los escritos, sin perder de vista la asistencia que es de estricta observancia. Además, se exigirá la presentación de una monografía y una exposición sobre dicho trabajo.</w:t>
      </w:r>
    </w:p>
    <w:p w:rsidR="00B36365" w:rsidRPr="001D51F2" w:rsidRDefault="00B36365" w:rsidP="00B36365">
      <w:pPr>
        <w:pStyle w:val="Prrafodelista"/>
        <w:tabs>
          <w:tab w:val="center" w:pos="4419"/>
          <w:tab w:val="left" w:pos="7800"/>
        </w:tabs>
        <w:spacing w:line="360" w:lineRule="auto"/>
        <w:ind w:right="-376"/>
        <w:jc w:val="both"/>
        <w:rPr>
          <w:rFonts w:ascii="Arial Narrow" w:hAnsi="Arial Narrow" w:cstheme="minorHAnsi"/>
        </w:rPr>
      </w:pPr>
      <w:r w:rsidRPr="001D51F2">
        <w:rPr>
          <w:rFonts w:ascii="Arial Narrow" w:hAnsi="Arial Narrow" w:cstheme="minorHAnsi"/>
        </w:rPr>
        <w:t>La nota final se obtendrá de las siguientes calificaciones:</w:t>
      </w:r>
    </w:p>
    <w:p w:rsidR="00B36365" w:rsidRPr="001D51F2" w:rsidRDefault="00B36365" w:rsidP="00B36365">
      <w:pPr>
        <w:pStyle w:val="Prrafodelista"/>
        <w:tabs>
          <w:tab w:val="center" w:pos="4419"/>
          <w:tab w:val="left" w:pos="7800"/>
        </w:tabs>
        <w:spacing w:line="360" w:lineRule="auto"/>
        <w:ind w:right="-376"/>
        <w:jc w:val="both"/>
        <w:rPr>
          <w:rFonts w:ascii="Arial Narrow" w:hAnsi="Arial Narrow" w:cstheme="minorHAnsi"/>
        </w:rPr>
      </w:pPr>
      <w:r w:rsidRPr="001D51F2">
        <w:rPr>
          <w:rFonts w:ascii="Arial Narrow" w:hAnsi="Arial Narrow" w:cstheme="minorHAnsi"/>
        </w:rPr>
        <w:t>Examen Parcial; Examen Final (70%) y Exposición y Monografía (30%)</w:t>
      </w:r>
    </w:p>
    <w:p w:rsidR="00B36365" w:rsidRPr="00942A1F" w:rsidRDefault="00B36365" w:rsidP="00B36365">
      <w:pPr>
        <w:shd w:val="clear" w:color="auto" w:fill="FFFFFF" w:themeFill="background1"/>
        <w:ind w:left="709" w:right="-376"/>
        <w:jc w:val="both"/>
        <w:rPr>
          <w:rFonts w:ascii="Arial Narrow" w:hAnsi="Arial Narrow"/>
          <w:color w:val="000000"/>
          <w:szCs w:val="24"/>
          <w:u w:val="single"/>
          <w:shd w:val="clear" w:color="auto" w:fill="FFFFFF" w:themeFill="background1"/>
        </w:rPr>
      </w:pPr>
      <w:r w:rsidRPr="00942A1F">
        <w:rPr>
          <w:rFonts w:ascii="Arial Narrow" w:hAnsi="Arial Narrow"/>
          <w:b/>
          <w:color w:val="000000"/>
          <w:szCs w:val="24"/>
          <w:u w:val="single"/>
          <w:shd w:val="clear" w:color="auto" w:fill="FFFFFF" w:themeFill="background1"/>
        </w:rPr>
        <w:lastRenderedPageBreak/>
        <w:t xml:space="preserve">CONDUCTAS INAPROPIADAS </w:t>
      </w:r>
      <w:r w:rsidRPr="00942A1F">
        <w:rPr>
          <w:rFonts w:ascii="Arial Narrow" w:hAnsi="Arial Narrow"/>
          <w:color w:val="000000"/>
          <w:szCs w:val="24"/>
          <w:u w:val="single"/>
          <w:shd w:val="clear" w:color="auto" w:fill="FFFFFF" w:themeFill="background1"/>
        </w:rPr>
        <w:t xml:space="preserve"> </w:t>
      </w:r>
    </w:p>
    <w:p w:rsidR="00B36365" w:rsidRPr="00C1563F" w:rsidRDefault="00B36365" w:rsidP="00B36365">
      <w:pPr>
        <w:shd w:val="clear" w:color="auto" w:fill="FFFFFF" w:themeFill="background1"/>
        <w:ind w:left="709" w:right="-376"/>
        <w:jc w:val="both"/>
        <w:rPr>
          <w:rFonts w:ascii="Arial Narrow" w:hAnsi="Arial Narrow"/>
          <w:color w:val="000000"/>
          <w:szCs w:val="24"/>
          <w:shd w:val="clear" w:color="auto" w:fill="FFFFFF" w:themeFill="background1"/>
        </w:rPr>
      </w:pPr>
      <w:r w:rsidRPr="00C1563F">
        <w:rPr>
          <w:rFonts w:ascii="Arial Narrow" w:hAnsi="Arial Narrow"/>
          <w:color w:val="000000"/>
          <w:szCs w:val="24"/>
          <w:shd w:val="clear" w:color="auto" w:fill="FFFFFF" w:themeFill="background1"/>
        </w:rPr>
        <w:t>Queda, prohibido para los alumnos(as) utilizar sus celulares durante el desarrollo de clases así como durante  los exámenes; de la misma forma salir y entrar al aula fuera de la hora establecida, salvo excepciones, aplicándosele una sanción moral que influye al momento de las evaluaciones. Cumplir con el horario establecido para la clase</w:t>
      </w:r>
    </w:p>
    <w:p w:rsidR="00B36365" w:rsidRPr="00C1563F" w:rsidRDefault="00B36365" w:rsidP="00B36365">
      <w:pPr>
        <w:shd w:val="clear" w:color="auto" w:fill="FFFFFF" w:themeFill="background1"/>
        <w:ind w:left="709" w:right="-376"/>
        <w:jc w:val="both"/>
        <w:rPr>
          <w:rFonts w:ascii="Arial Narrow" w:hAnsi="Arial Narrow"/>
          <w:color w:val="000000"/>
          <w:szCs w:val="24"/>
          <w:shd w:val="clear" w:color="auto" w:fill="FFFFFF" w:themeFill="background1"/>
        </w:rPr>
      </w:pPr>
      <w:r w:rsidRPr="00C1563F">
        <w:rPr>
          <w:rFonts w:ascii="Arial Narrow" w:hAnsi="Arial Narrow"/>
          <w:color w:val="000000"/>
          <w:szCs w:val="24"/>
          <w:shd w:val="clear" w:color="auto" w:fill="FFFFFF" w:themeFill="background1"/>
        </w:rPr>
        <w:t>La Tolerancia para el ingreso al aula de los alumnos(as), es de 10 minutos, fuera de dicho horario se considera como falta.</w:t>
      </w:r>
    </w:p>
    <w:p w:rsidR="00B36365" w:rsidRPr="00C1563F" w:rsidRDefault="00B36365" w:rsidP="00B36365">
      <w:pPr>
        <w:shd w:val="clear" w:color="auto" w:fill="FFFFFF" w:themeFill="background1"/>
        <w:ind w:left="709" w:right="-376"/>
        <w:jc w:val="both"/>
        <w:rPr>
          <w:rFonts w:ascii="Arial Narrow" w:hAnsi="Arial Narrow"/>
          <w:color w:val="000000"/>
          <w:szCs w:val="24"/>
          <w:shd w:val="clear" w:color="auto" w:fill="F6F6F6"/>
        </w:rPr>
      </w:pPr>
      <w:r w:rsidRPr="00C1563F">
        <w:rPr>
          <w:rFonts w:ascii="Arial Narrow" w:hAnsi="Arial Narrow"/>
          <w:color w:val="000000"/>
          <w:szCs w:val="24"/>
          <w:shd w:val="clear" w:color="auto" w:fill="FFFFFF" w:themeFill="background1"/>
        </w:rPr>
        <w:t>Las justificaciones por inasistencia a clases y/o evaluaciones, son de competencia del Jefe de Departamento y/o coordinador de la escuela</w:t>
      </w:r>
      <w:r w:rsidR="00942A1F">
        <w:rPr>
          <w:rFonts w:ascii="Arial Narrow" w:hAnsi="Arial Narrow"/>
          <w:color w:val="000000"/>
          <w:szCs w:val="24"/>
          <w:shd w:val="clear" w:color="auto" w:fill="FFFFFF" w:themeFill="background1"/>
        </w:rPr>
        <w:t xml:space="preserve">, las cuales se tomaran en cuenta si fueron presentadas o comunicadas con la debida anticipación o dentro del periodo de evaluacion y presentación de calificaciones.  </w:t>
      </w:r>
    </w:p>
    <w:p w:rsidR="00B36365" w:rsidRPr="001D51F2" w:rsidRDefault="00B36365" w:rsidP="00B36365">
      <w:pPr>
        <w:pStyle w:val="Prrafodelista"/>
        <w:tabs>
          <w:tab w:val="center" w:pos="4419"/>
          <w:tab w:val="left" w:pos="7800"/>
        </w:tabs>
        <w:ind w:right="-376"/>
        <w:rPr>
          <w:rFonts w:ascii="Arial Narrow" w:hAnsi="Arial Narrow" w:cstheme="minorHAnsi"/>
          <w:b/>
        </w:rPr>
      </w:pPr>
    </w:p>
    <w:p w:rsidR="00B36365" w:rsidRPr="00A07545" w:rsidRDefault="00B36365" w:rsidP="00B36365">
      <w:pPr>
        <w:pStyle w:val="Prrafodelista"/>
        <w:numPr>
          <w:ilvl w:val="0"/>
          <w:numId w:val="1"/>
        </w:numPr>
        <w:tabs>
          <w:tab w:val="center" w:pos="4419"/>
          <w:tab w:val="left" w:pos="7800"/>
        </w:tabs>
        <w:ind w:right="-376"/>
        <w:rPr>
          <w:rFonts w:ascii="Arial Narrow" w:hAnsi="Arial Narrow" w:cstheme="minorHAnsi"/>
          <w:b/>
          <w:u w:val="single"/>
        </w:rPr>
      </w:pPr>
      <w:r w:rsidRPr="00A07545">
        <w:rPr>
          <w:rFonts w:ascii="Arial Narrow" w:hAnsi="Arial Narrow" w:cstheme="minorHAnsi"/>
          <w:b/>
          <w:u w:val="single"/>
        </w:rPr>
        <w:t>BIBLIOGRAFÍA BÁSICA</w:t>
      </w:r>
    </w:p>
    <w:p w:rsidR="003254B5" w:rsidRDefault="003254B5" w:rsidP="003254B5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ALEXY</w:t>
      </w:r>
      <w:proofErr w:type="spellEnd"/>
      <w:r>
        <w:rPr>
          <w:rFonts w:ascii="Arial" w:hAnsi="Arial"/>
        </w:rPr>
        <w:t xml:space="preserve">, Robert. </w:t>
      </w:r>
      <w:r w:rsidRPr="00FB3E3C">
        <w:rPr>
          <w:rFonts w:ascii="Arial" w:hAnsi="Arial"/>
          <w:b/>
          <w:u w:val="single"/>
        </w:rPr>
        <w:t xml:space="preserve">Teoría de </w:t>
      </w:r>
      <w:smartTag w:uri="urn:schemas-microsoft-com:office:smarttags" w:element="PersonName">
        <w:smartTagPr>
          <w:attr w:name="ProductID" w:val="la Argumentaci￳n Jur￭dica."/>
        </w:smartTagPr>
        <w:smartTag w:uri="urn:schemas-microsoft-com:office:smarttags" w:element="PersonName">
          <w:smartTagPr>
            <w:attr w:name="ProductID" w:val="la Argumentaci￳n"/>
          </w:smartTagPr>
          <w:r w:rsidRPr="00FB3E3C">
            <w:rPr>
              <w:rFonts w:ascii="Arial" w:hAnsi="Arial"/>
              <w:b/>
              <w:u w:val="single"/>
            </w:rPr>
            <w:t>la Argumentación</w:t>
          </w:r>
        </w:smartTag>
        <w:r w:rsidRPr="00FB3E3C">
          <w:rPr>
            <w:rFonts w:ascii="Arial" w:hAnsi="Arial"/>
            <w:b/>
            <w:u w:val="single"/>
          </w:rPr>
          <w:t xml:space="preserve"> Jurídica</w:t>
        </w:r>
        <w:r w:rsidRPr="001A1138">
          <w:rPr>
            <w:rFonts w:ascii="Arial" w:hAnsi="Arial"/>
            <w:b/>
          </w:rPr>
          <w:t>.</w:t>
        </w:r>
      </w:smartTag>
      <w:r>
        <w:rPr>
          <w:rFonts w:ascii="Arial" w:hAnsi="Arial"/>
        </w:rPr>
        <w:t xml:space="preserve"> Centro de Estudios Constitucionales. Madrid, </w:t>
      </w:r>
      <w:r w:rsidR="00FB3E3C">
        <w:rPr>
          <w:rFonts w:ascii="Arial" w:hAnsi="Arial"/>
        </w:rPr>
        <w:t>2004</w:t>
      </w:r>
      <w:r>
        <w:rPr>
          <w:rFonts w:ascii="Arial" w:hAnsi="Arial"/>
        </w:rPr>
        <w:t>.</w:t>
      </w:r>
    </w:p>
    <w:p w:rsidR="003254B5" w:rsidRDefault="003254B5" w:rsidP="003254B5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ATIENZA</w:t>
      </w:r>
      <w:proofErr w:type="spellEnd"/>
      <w:r>
        <w:rPr>
          <w:rFonts w:ascii="Arial" w:hAnsi="Arial"/>
        </w:rPr>
        <w:t xml:space="preserve">, Manuel. </w:t>
      </w:r>
      <w:r w:rsidRPr="00FB3E3C">
        <w:rPr>
          <w:rFonts w:ascii="Arial" w:hAnsi="Arial"/>
          <w:b/>
          <w:u w:val="single"/>
        </w:rPr>
        <w:t xml:space="preserve">Teoría de </w:t>
      </w:r>
      <w:smartTag w:uri="urn:schemas-microsoft-com:office:smarttags" w:element="PersonName">
        <w:smartTagPr>
          <w:attr w:name="ProductID" w:val="la Argumentaci￳n Jur￭dico."/>
        </w:smartTagPr>
        <w:smartTag w:uri="urn:schemas-microsoft-com:office:smarttags" w:element="PersonName">
          <w:smartTagPr>
            <w:attr w:name="ProductID" w:val="la Argumentaci￳n"/>
          </w:smartTagPr>
          <w:r w:rsidRPr="00FB3E3C">
            <w:rPr>
              <w:rFonts w:ascii="Arial" w:hAnsi="Arial"/>
              <w:b/>
              <w:u w:val="single"/>
            </w:rPr>
            <w:t>la Argumentación</w:t>
          </w:r>
        </w:smartTag>
        <w:r w:rsidRPr="00FB3E3C">
          <w:rPr>
            <w:rFonts w:ascii="Arial" w:hAnsi="Arial"/>
            <w:b/>
            <w:u w:val="single"/>
          </w:rPr>
          <w:t xml:space="preserve"> Jurídico.</w:t>
        </w:r>
      </w:smartTag>
      <w:r w:rsidRPr="00FB3E3C">
        <w:rPr>
          <w:rFonts w:ascii="Arial" w:hAnsi="Arial"/>
          <w:b/>
          <w:u w:val="single"/>
        </w:rPr>
        <w:t xml:space="preserve"> Tomo I y II</w:t>
      </w:r>
      <w:r w:rsidRPr="00FB3E3C">
        <w:rPr>
          <w:rFonts w:ascii="Arial" w:hAnsi="Arial"/>
          <w:u w:val="single"/>
        </w:rPr>
        <w:t>.</w:t>
      </w:r>
      <w:r>
        <w:rPr>
          <w:rFonts w:ascii="Arial" w:hAnsi="Arial"/>
        </w:rPr>
        <w:t xml:space="preserve"> Universidad de Alicante. España. 2005.</w:t>
      </w:r>
    </w:p>
    <w:p w:rsidR="003254B5" w:rsidRDefault="003254B5" w:rsidP="003254B5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BUNGE, Mario</w:t>
      </w:r>
      <w:r w:rsidRPr="00FB3E3C">
        <w:rPr>
          <w:rFonts w:ascii="Arial" w:hAnsi="Arial"/>
          <w:b/>
          <w:u w:val="single"/>
          <w:lang w:val="es-ES"/>
        </w:rPr>
        <w:t>. Intuición y Razón</w:t>
      </w:r>
      <w:r>
        <w:rPr>
          <w:rFonts w:ascii="Arial" w:hAnsi="Arial"/>
          <w:lang w:val="es-ES"/>
        </w:rPr>
        <w:t xml:space="preserve">. </w:t>
      </w:r>
      <w:proofErr w:type="spellStart"/>
      <w:r>
        <w:rPr>
          <w:rFonts w:ascii="Arial" w:hAnsi="Arial"/>
          <w:lang w:val="es-ES"/>
        </w:rPr>
        <w:t>Tecnos</w:t>
      </w:r>
      <w:proofErr w:type="spellEnd"/>
      <w:r>
        <w:rPr>
          <w:rFonts w:ascii="Arial" w:hAnsi="Arial"/>
          <w:lang w:val="es-ES"/>
        </w:rPr>
        <w:t>. Madrid. 1986.</w:t>
      </w:r>
    </w:p>
    <w:p w:rsidR="003254B5" w:rsidRDefault="003254B5" w:rsidP="003254B5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CASTILLO ALVA, José Luis y otros. </w:t>
      </w:r>
      <w:r w:rsidRPr="00FB3E3C">
        <w:rPr>
          <w:rFonts w:ascii="Arial" w:hAnsi="Arial"/>
          <w:b/>
          <w:u w:val="single"/>
        </w:rPr>
        <w:t>Razonamiento Judicial</w:t>
      </w:r>
      <w:r w:rsidRPr="001A1138">
        <w:rPr>
          <w:rFonts w:ascii="Arial" w:hAnsi="Arial"/>
          <w:b/>
        </w:rPr>
        <w:t>.</w:t>
      </w:r>
      <w:r>
        <w:rPr>
          <w:rFonts w:ascii="Arial" w:hAnsi="Arial"/>
        </w:rPr>
        <w:t xml:space="preserve"> Gaceta Jurídica. Lima – Perú. 2004.</w:t>
      </w:r>
    </w:p>
    <w:p w:rsidR="003254B5" w:rsidRDefault="003254B5" w:rsidP="003254B5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  <w:lang w:val="es-ES"/>
        </w:rPr>
      </w:pPr>
      <w:proofErr w:type="spellStart"/>
      <w:r>
        <w:rPr>
          <w:rFonts w:ascii="Arial" w:hAnsi="Arial"/>
          <w:lang w:val="es-ES"/>
        </w:rPr>
        <w:t>GHIRARDI</w:t>
      </w:r>
      <w:proofErr w:type="spellEnd"/>
      <w:r>
        <w:rPr>
          <w:rFonts w:ascii="Arial" w:hAnsi="Arial"/>
          <w:lang w:val="es-ES"/>
        </w:rPr>
        <w:t xml:space="preserve">, </w:t>
      </w:r>
      <w:proofErr w:type="spellStart"/>
      <w:r>
        <w:rPr>
          <w:rFonts w:ascii="Arial" w:hAnsi="Arial"/>
          <w:lang w:val="es-ES"/>
        </w:rPr>
        <w:t>Olsen</w:t>
      </w:r>
      <w:proofErr w:type="spellEnd"/>
      <w:r>
        <w:rPr>
          <w:rFonts w:ascii="Arial" w:hAnsi="Arial"/>
          <w:lang w:val="es-ES"/>
        </w:rPr>
        <w:t xml:space="preserve"> A. </w:t>
      </w:r>
      <w:r w:rsidRPr="00FB3E3C">
        <w:rPr>
          <w:rFonts w:ascii="Arial" w:hAnsi="Arial"/>
          <w:b/>
          <w:u w:val="single"/>
          <w:lang w:val="es-ES"/>
        </w:rPr>
        <w:t>EL Razonamiento Judicial</w:t>
      </w:r>
      <w:r w:rsidRPr="001A1138">
        <w:rPr>
          <w:rFonts w:ascii="Arial" w:hAnsi="Arial"/>
          <w:b/>
          <w:lang w:val="es-ES"/>
        </w:rPr>
        <w:t>.</w:t>
      </w:r>
      <w:r>
        <w:rPr>
          <w:rFonts w:ascii="Arial" w:hAnsi="Arial"/>
          <w:lang w:val="es-ES"/>
        </w:rPr>
        <w:t xml:space="preserve"> Academia de </w:t>
      </w:r>
      <w:smartTag w:uri="urn:schemas-microsoft-com:office:smarttags" w:element="PersonName">
        <w:smartTagPr>
          <w:attr w:name="ProductID" w:val="la Magistratura. Lima"/>
        </w:smartTagPr>
        <w:smartTag w:uri="urn:schemas-microsoft-com:office:smarttags" w:element="PersonName">
          <w:smartTagPr>
            <w:attr w:name="ProductID" w:val="la Magistratura."/>
          </w:smartTagPr>
          <w:r>
            <w:rPr>
              <w:rFonts w:ascii="Arial" w:hAnsi="Arial"/>
              <w:lang w:val="es-ES"/>
            </w:rPr>
            <w:t>la Magistratura.</w:t>
          </w:r>
        </w:smartTag>
        <w:r>
          <w:rPr>
            <w:rFonts w:ascii="Arial" w:hAnsi="Arial"/>
            <w:lang w:val="es-ES"/>
          </w:rPr>
          <w:t xml:space="preserve"> Lima</w:t>
        </w:r>
      </w:smartTag>
      <w:r>
        <w:rPr>
          <w:rFonts w:ascii="Arial" w:hAnsi="Arial"/>
          <w:lang w:val="es-ES"/>
        </w:rPr>
        <w:t xml:space="preserve"> – Perú. </w:t>
      </w:r>
      <w:r w:rsidR="00FB3E3C">
        <w:rPr>
          <w:rFonts w:ascii="Arial" w:hAnsi="Arial"/>
          <w:lang w:val="es-ES"/>
        </w:rPr>
        <w:t>2008</w:t>
      </w:r>
    </w:p>
    <w:p w:rsidR="003254B5" w:rsidRDefault="003254B5" w:rsidP="003254B5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GASCÓN ABELLÁN, Marina y otros. </w:t>
      </w:r>
      <w:smartTag w:uri="urn:schemas-microsoft-com:office:smarttags" w:element="PersonName">
        <w:smartTagPr>
          <w:attr w:name="ProductID" w:val="La Argumentaci￳n Jur￭dica"/>
        </w:smartTagPr>
        <w:smartTag w:uri="urn:schemas-microsoft-com:office:smarttags" w:element="PersonName">
          <w:smartTagPr>
            <w:attr w:name="ProductID" w:val="la Argumentaci￳n"/>
          </w:smartTagPr>
          <w:r w:rsidRPr="00FB3E3C">
            <w:rPr>
              <w:rFonts w:ascii="Arial" w:hAnsi="Arial"/>
              <w:b/>
              <w:u w:val="single"/>
              <w:lang w:val="es-ES"/>
            </w:rPr>
            <w:t>La Argumentación</w:t>
          </w:r>
        </w:smartTag>
        <w:r w:rsidRPr="00FB3E3C">
          <w:rPr>
            <w:rFonts w:ascii="Arial" w:hAnsi="Arial"/>
            <w:b/>
            <w:u w:val="single"/>
            <w:lang w:val="es-ES"/>
          </w:rPr>
          <w:t xml:space="preserve"> Jurídica</w:t>
        </w:r>
      </w:smartTag>
      <w:r w:rsidRPr="00FB3E3C">
        <w:rPr>
          <w:rFonts w:ascii="Arial" w:hAnsi="Arial"/>
          <w:b/>
          <w:u w:val="single"/>
          <w:lang w:val="es-ES"/>
        </w:rPr>
        <w:t xml:space="preserve"> en el Derecho. </w:t>
      </w:r>
      <w:proofErr w:type="spellStart"/>
      <w:r w:rsidRPr="00FB3E3C">
        <w:rPr>
          <w:rFonts w:ascii="Arial" w:hAnsi="Arial"/>
          <w:b/>
          <w:u w:val="single"/>
          <w:lang w:val="es-ES"/>
        </w:rPr>
        <w:t>2da</w:t>
      </w:r>
      <w:proofErr w:type="spellEnd"/>
      <w:r w:rsidRPr="00FB3E3C">
        <w:rPr>
          <w:rFonts w:ascii="Arial" w:hAnsi="Arial"/>
          <w:b/>
          <w:u w:val="single"/>
          <w:lang w:val="es-ES"/>
        </w:rPr>
        <w:t xml:space="preserve"> Edición corregida</w:t>
      </w:r>
      <w:r>
        <w:rPr>
          <w:rFonts w:ascii="Arial" w:hAnsi="Arial"/>
          <w:lang w:val="es-ES"/>
        </w:rPr>
        <w:t>. Palestra Editorial. Lima – Perú. 2005.</w:t>
      </w:r>
    </w:p>
    <w:p w:rsidR="003254B5" w:rsidRDefault="003254B5" w:rsidP="003254B5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GAMARRA GÓMEZ, Severo. </w:t>
      </w:r>
      <w:r w:rsidRPr="00FB3E3C">
        <w:rPr>
          <w:rFonts w:ascii="Arial" w:hAnsi="Arial"/>
          <w:b/>
          <w:u w:val="single"/>
          <w:lang w:val="es-ES"/>
        </w:rPr>
        <w:t>Lógica Jurídica – Principio de Razón Suficiente</w:t>
      </w:r>
      <w:r>
        <w:rPr>
          <w:rFonts w:ascii="Arial" w:hAnsi="Arial"/>
          <w:lang w:val="es-ES"/>
        </w:rPr>
        <w:t xml:space="preserve">. Fondo Editorial de </w:t>
      </w:r>
      <w:smartTag w:uri="urn:schemas-microsoft-com:office:smarttags" w:element="PersonName">
        <w:smartTagPr>
          <w:attr w:name="ProductID" w:val="la UNMSM. Lima"/>
        </w:smartTagPr>
        <w:smartTag w:uri="urn:schemas-microsoft-com:office:smarttags" w:element="PersonName">
          <w:smartTagPr>
            <w:attr w:name="ProductID" w:val="la UNMSM."/>
          </w:smartTagPr>
          <w:r>
            <w:rPr>
              <w:rFonts w:ascii="Arial" w:hAnsi="Arial"/>
              <w:lang w:val="es-ES"/>
            </w:rPr>
            <w:t xml:space="preserve">la </w:t>
          </w:r>
          <w:proofErr w:type="spellStart"/>
          <w:r>
            <w:rPr>
              <w:rFonts w:ascii="Arial" w:hAnsi="Arial"/>
              <w:lang w:val="es-ES"/>
            </w:rPr>
            <w:t>UNMSM</w:t>
          </w:r>
          <w:proofErr w:type="spellEnd"/>
          <w:r>
            <w:rPr>
              <w:rFonts w:ascii="Arial" w:hAnsi="Arial"/>
              <w:lang w:val="es-ES"/>
            </w:rPr>
            <w:t>.</w:t>
          </w:r>
        </w:smartTag>
        <w:r>
          <w:rPr>
            <w:rFonts w:ascii="Arial" w:hAnsi="Arial"/>
            <w:lang w:val="es-ES"/>
          </w:rPr>
          <w:t xml:space="preserve"> Lima</w:t>
        </w:r>
      </w:smartTag>
      <w:r>
        <w:rPr>
          <w:rFonts w:ascii="Arial" w:hAnsi="Arial"/>
          <w:lang w:val="es-ES"/>
        </w:rPr>
        <w:t xml:space="preserve"> – Perú 2004.</w:t>
      </w:r>
    </w:p>
    <w:p w:rsidR="003254B5" w:rsidRDefault="003254B5" w:rsidP="003254B5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  <w:lang w:val="es-ES"/>
        </w:rPr>
      </w:pPr>
      <w:proofErr w:type="spellStart"/>
      <w:r>
        <w:rPr>
          <w:rFonts w:ascii="Arial" w:hAnsi="Arial"/>
          <w:lang w:val="es-ES"/>
        </w:rPr>
        <w:t>MARTINEAU</w:t>
      </w:r>
      <w:proofErr w:type="spellEnd"/>
      <w:r>
        <w:rPr>
          <w:rFonts w:ascii="Arial" w:hAnsi="Arial"/>
          <w:lang w:val="es-ES"/>
        </w:rPr>
        <w:t xml:space="preserve">, </w:t>
      </w:r>
      <w:proofErr w:type="spellStart"/>
      <w:r>
        <w:rPr>
          <w:rFonts w:ascii="Arial" w:hAnsi="Arial"/>
          <w:lang w:val="es-ES"/>
        </w:rPr>
        <w:t>Francois</w:t>
      </w:r>
      <w:proofErr w:type="spellEnd"/>
      <w:r>
        <w:rPr>
          <w:rFonts w:ascii="Arial" w:hAnsi="Arial"/>
          <w:lang w:val="es-ES"/>
        </w:rPr>
        <w:t xml:space="preserve">. </w:t>
      </w:r>
      <w:r w:rsidRPr="00FB3E3C">
        <w:rPr>
          <w:rFonts w:ascii="Arial" w:hAnsi="Arial"/>
          <w:b/>
          <w:u w:val="single"/>
          <w:lang w:val="es-ES"/>
        </w:rPr>
        <w:t>Técnicas de Argumentación del Abogado</w:t>
      </w:r>
      <w:r>
        <w:rPr>
          <w:rFonts w:ascii="Arial" w:hAnsi="Arial"/>
          <w:lang w:val="es-ES"/>
        </w:rPr>
        <w:t>. Copyright. Primera Edición, Enero 2000 Traducción: Ricardo Guevara B. Lima Perú.</w:t>
      </w:r>
    </w:p>
    <w:p w:rsidR="003254B5" w:rsidRDefault="003254B5" w:rsidP="003254B5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MORRIS, </w:t>
      </w:r>
      <w:proofErr w:type="spellStart"/>
      <w:r>
        <w:rPr>
          <w:rFonts w:ascii="Arial" w:hAnsi="Arial"/>
          <w:lang w:val="es-ES"/>
        </w:rPr>
        <w:t>Clarence</w:t>
      </w:r>
      <w:proofErr w:type="spellEnd"/>
      <w:r>
        <w:rPr>
          <w:rFonts w:ascii="Arial" w:hAnsi="Arial"/>
          <w:lang w:val="es-ES"/>
        </w:rPr>
        <w:t xml:space="preserve">. </w:t>
      </w:r>
      <w:r w:rsidRPr="00FB3E3C">
        <w:rPr>
          <w:rFonts w:ascii="Arial" w:hAnsi="Arial"/>
          <w:b/>
          <w:u w:val="single"/>
          <w:lang w:val="es-ES"/>
        </w:rPr>
        <w:t>Cómo Razonan los Abogados</w:t>
      </w:r>
      <w:r>
        <w:rPr>
          <w:rFonts w:ascii="Arial" w:hAnsi="Arial"/>
          <w:lang w:val="es-ES"/>
        </w:rPr>
        <w:t xml:space="preserve">. Editorial </w:t>
      </w:r>
      <w:proofErr w:type="spellStart"/>
      <w:r>
        <w:rPr>
          <w:rFonts w:ascii="Arial" w:hAnsi="Arial"/>
          <w:lang w:val="es-ES"/>
        </w:rPr>
        <w:t>Limusa</w:t>
      </w:r>
      <w:proofErr w:type="spellEnd"/>
      <w:r>
        <w:rPr>
          <w:rFonts w:ascii="Arial" w:hAnsi="Arial"/>
          <w:lang w:val="es-ES"/>
        </w:rPr>
        <w:t>. S.A. México, México 20</w:t>
      </w:r>
      <w:r w:rsidR="00FB3E3C">
        <w:rPr>
          <w:rFonts w:ascii="Arial" w:hAnsi="Arial"/>
          <w:lang w:val="es-ES"/>
        </w:rPr>
        <w:t>08</w:t>
      </w:r>
      <w:r>
        <w:rPr>
          <w:rFonts w:ascii="Arial" w:hAnsi="Arial"/>
          <w:lang w:val="es-ES"/>
        </w:rPr>
        <w:t>.</w:t>
      </w:r>
    </w:p>
    <w:p w:rsidR="003254B5" w:rsidRDefault="003254B5" w:rsidP="003254B5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SCHOPENHAUER, Arthur. </w:t>
      </w:r>
      <w:r w:rsidRPr="00FB3E3C">
        <w:rPr>
          <w:rFonts w:ascii="Arial" w:hAnsi="Arial"/>
          <w:b/>
          <w:u w:val="single"/>
          <w:lang w:val="es-ES"/>
        </w:rPr>
        <w:t>El Arte de tener Razón</w:t>
      </w:r>
      <w:r>
        <w:rPr>
          <w:rFonts w:ascii="Arial" w:hAnsi="Arial"/>
          <w:lang w:val="es-ES"/>
        </w:rPr>
        <w:t>. Biblioteca Edad. España 2000.</w:t>
      </w:r>
    </w:p>
    <w:p w:rsidR="003254B5" w:rsidRPr="00875092" w:rsidRDefault="003254B5" w:rsidP="003254B5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  <w:lang w:val="es-ES"/>
        </w:rPr>
      </w:pPr>
      <w:proofErr w:type="spellStart"/>
      <w:r>
        <w:rPr>
          <w:rFonts w:ascii="Arial" w:hAnsi="Arial"/>
          <w:lang w:val="es-ES"/>
        </w:rPr>
        <w:t>ZUBIRI</w:t>
      </w:r>
      <w:proofErr w:type="spellEnd"/>
      <w:r>
        <w:rPr>
          <w:rFonts w:ascii="Arial" w:hAnsi="Arial"/>
          <w:lang w:val="es-ES"/>
        </w:rPr>
        <w:t>, Xavier</w:t>
      </w:r>
      <w:r w:rsidRPr="001A1138">
        <w:rPr>
          <w:rFonts w:ascii="Arial" w:hAnsi="Arial"/>
          <w:b/>
          <w:lang w:val="es-ES"/>
        </w:rPr>
        <w:t xml:space="preserve">. </w:t>
      </w:r>
      <w:r w:rsidRPr="00FB3E3C">
        <w:rPr>
          <w:rFonts w:ascii="Arial" w:hAnsi="Arial"/>
          <w:b/>
          <w:u w:val="single"/>
          <w:lang w:val="es-ES"/>
        </w:rPr>
        <w:t>Inteligencia y Razón</w:t>
      </w:r>
      <w:r>
        <w:rPr>
          <w:rFonts w:ascii="Arial" w:hAnsi="Arial"/>
          <w:lang w:val="es-ES"/>
        </w:rPr>
        <w:t>. Alianza Editorial. Madrid – España. 2001.</w:t>
      </w:r>
    </w:p>
    <w:p w:rsidR="003254B5" w:rsidRPr="00FB3E3C" w:rsidRDefault="00FB3E3C" w:rsidP="00FB3E3C">
      <w:pPr>
        <w:pStyle w:val="Prrafodelista"/>
        <w:numPr>
          <w:ilvl w:val="0"/>
          <w:numId w:val="7"/>
        </w:numPr>
        <w:jc w:val="both"/>
        <w:rPr>
          <w:rFonts w:ascii="Arial" w:hAnsi="Arial"/>
          <w:b/>
          <w:u w:val="single"/>
          <w:lang w:val="es-ES"/>
        </w:rPr>
      </w:pPr>
      <w:r>
        <w:rPr>
          <w:rFonts w:ascii="Arial" w:hAnsi="Arial"/>
          <w:lang w:val="es-ES"/>
        </w:rPr>
        <w:t xml:space="preserve">ALMANZA  ALTAMIRANO  Frank y PEÑA </w:t>
      </w:r>
      <w:proofErr w:type="spellStart"/>
      <w:r>
        <w:rPr>
          <w:rFonts w:ascii="Arial" w:hAnsi="Arial"/>
          <w:lang w:val="es-ES"/>
        </w:rPr>
        <w:t>GONZALEZ</w:t>
      </w:r>
      <w:proofErr w:type="spellEnd"/>
      <w:r>
        <w:rPr>
          <w:rFonts w:ascii="Arial" w:hAnsi="Arial"/>
          <w:lang w:val="es-ES"/>
        </w:rPr>
        <w:t xml:space="preserve">, Oscar. </w:t>
      </w:r>
      <w:r w:rsidRPr="00FB3E3C">
        <w:rPr>
          <w:rFonts w:ascii="Arial" w:hAnsi="Arial"/>
          <w:b/>
          <w:u w:val="single"/>
          <w:lang w:val="es-ES"/>
        </w:rPr>
        <w:t>Manual de argumentación Jurídica-</w:t>
      </w:r>
      <w:proofErr w:type="spellStart"/>
      <w:r w:rsidRPr="00FB3E3C">
        <w:rPr>
          <w:rFonts w:ascii="Arial" w:hAnsi="Arial"/>
          <w:b/>
          <w:u w:val="single"/>
          <w:lang w:val="es-ES"/>
        </w:rPr>
        <w:t>Guia</w:t>
      </w:r>
      <w:proofErr w:type="spellEnd"/>
      <w:r w:rsidRPr="00FB3E3C">
        <w:rPr>
          <w:rFonts w:ascii="Arial" w:hAnsi="Arial"/>
          <w:b/>
          <w:u w:val="single"/>
          <w:lang w:val="es-ES"/>
        </w:rPr>
        <w:t xml:space="preserve"> </w:t>
      </w:r>
      <w:proofErr w:type="spellStart"/>
      <w:r w:rsidRPr="00FB3E3C">
        <w:rPr>
          <w:rFonts w:ascii="Arial" w:hAnsi="Arial"/>
          <w:b/>
          <w:u w:val="single"/>
          <w:lang w:val="es-ES"/>
        </w:rPr>
        <w:t>teorica</w:t>
      </w:r>
      <w:proofErr w:type="spellEnd"/>
      <w:r w:rsidRPr="00FB3E3C">
        <w:rPr>
          <w:rFonts w:ascii="Arial" w:hAnsi="Arial"/>
          <w:b/>
          <w:u w:val="single"/>
          <w:lang w:val="es-ES"/>
        </w:rPr>
        <w:t xml:space="preserve"> y </w:t>
      </w:r>
      <w:proofErr w:type="spellStart"/>
      <w:proofErr w:type="gramStart"/>
      <w:r w:rsidRPr="00FB3E3C">
        <w:rPr>
          <w:rFonts w:ascii="Arial" w:hAnsi="Arial"/>
          <w:b/>
          <w:u w:val="single"/>
          <w:lang w:val="es-ES"/>
        </w:rPr>
        <w:t>practica</w:t>
      </w:r>
      <w:proofErr w:type="spellEnd"/>
      <w:r w:rsidRPr="00FB3E3C">
        <w:rPr>
          <w:rFonts w:ascii="Arial" w:hAnsi="Arial"/>
          <w:lang w:val="es-ES"/>
        </w:rPr>
        <w:t xml:space="preserve"> </w:t>
      </w:r>
      <w:r>
        <w:rPr>
          <w:rFonts w:ascii="Arial" w:hAnsi="Arial"/>
          <w:lang w:val="es-ES"/>
        </w:rPr>
        <w:t>.</w:t>
      </w:r>
      <w:proofErr w:type="gramEnd"/>
      <w:r w:rsidRPr="00FB3E3C">
        <w:rPr>
          <w:rFonts w:ascii="Arial" w:hAnsi="Arial"/>
          <w:lang w:val="es-ES"/>
        </w:rPr>
        <w:t xml:space="preserve"> Editorial  </w:t>
      </w:r>
      <w:proofErr w:type="spellStart"/>
      <w:r w:rsidRPr="00FB3E3C">
        <w:rPr>
          <w:rFonts w:ascii="Arial" w:hAnsi="Arial"/>
          <w:lang w:val="es-ES"/>
        </w:rPr>
        <w:t>APECC</w:t>
      </w:r>
      <w:proofErr w:type="spellEnd"/>
      <w:r>
        <w:rPr>
          <w:rFonts w:ascii="Arial" w:hAnsi="Arial"/>
          <w:lang w:val="es-ES"/>
        </w:rPr>
        <w:t xml:space="preserve">- </w:t>
      </w:r>
      <w:proofErr w:type="spellStart"/>
      <w:r>
        <w:rPr>
          <w:rFonts w:ascii="Arial" w:hAnsi="Arial"/>
          <w:lang w:val="es-ES"/>
        </w:rPr>
        <w:t>Peru</w:t>
      </w:r>
      <w:proofErr w:type="spellEnd"/>
      <w:r>
        <w:rPr>
          <w:rFonts w:ascii="Arial" w:hAnsi="Arial"/>
          <w:lang w:val="es-ES"/>
        </w:rPr>
        <w:t xml:space="preserve"> 2012</w:t>
      </w:r>
    </w:p>
    <w:p w:rsidR="00FB3E3C" w:rsidRPr="00FB3E3C" w:rsidRDefault="00FB3E3C" w:rsidP="00FB3E3C">
      <w:pPr>
        <w:pStyle w:val="Prrafodelista"/>
        <w:numPr>
          <w:ilvl w:val="0"/>
          <w:numId w:val="7"/>
        </w:numPr>
        <w:jc w:val="both"/>
        <w:rPr>
          <w:rFonts w:ascii="Arial" w:hAnsi="Arial"/>
          <w:b/>
          <w:u w:val="single"/>
          <w:lang w:val="es-ES"/>
        </w:rPr>
      </w:pPr>
      <w:proofErr w:type="spellStart"/>
      <w:r>
        <w:rPr>
          <w:rFonts w:ascii="Arial" w:hAnsi="Arial"/>
          <w:lang w:val="es-ES"/>
        </w:rPr>
        <w:t>URETA</w:t>
      </w:r>
      <w:proofErr w:type="spellEnd"/>
      <w:r>
        <w:rPr>
          <w:rFonts w:ascii="Arial" w:hAnsi="Arial"/>
          <w:lang w:val="es-ES"/>
        </w:rPr>
        <w:t xml:space="preserve"> GUERRA juan Antonio. </w:t>
      </w:r>
      <w:r w:rsidRPr="00FB3E3C">
        <w:rPr>
          <w:rFonts w:ascii="Arial" w:hAnsi="Arial"/>
          <w:b/>
          <w:u w:val="single"/>
          <w:lang w:val="es-ES"/>
        </w:rPr>
        <w:t>Técnicas de Argumentación Jurídica</w:t>
      </w:r>
      <w:r>
        <w:rPr>
          <w:rFonts w:ascii="Arial" w:hAnsi="Arial"/>
          <w:lang w:val="es-ES"/>
        </w:rPr>
        <w:t xml:space="preserve"> .Editorial Ediciones legales. Perú -2012</w:t>
      </w:r>
    </w:p>
    <w:p w:rsidR="003254B5" w:rsidRPr="00875092" w:rsidRDefault="003254B5" w:rsidP="003254B5">
      <w:pPr>
        <w:jc w:val="both"/>
        <w:rPr>
          <w:rFonts w:ascii="Arial" w:hAnsi="Arial"/>
          <w:lang w:val="es-ES"/>
        </w:rPr>
      </w:pPr>
    </w:p>
    <w:p w:rsidR="00B36365" w:rsidRPr="001D51F2" w:rsidRDefault="00B36365" w:rsidP="00B36365">
      <w:pPr>
        <w:pStyle w:val="Prrafodelista"/>
        <w:tabs>
          <w:tab w:val="center" w:pos="4419"/>
          <w:tab w:val="left" w:pos="7800"/>
        </w:tabs>
        <w:ind w:left="1069" w:right="-376"/>
        <w:jc w:val="center"/>
        <w:rPr>
          <w:rFonts w:ascii="Arial Narrow" w:hAnsi="Arial Narrow" w:cstheme="minorHAnsi"/>
        </w:rPr>
      </w:pPr>
      <w:r w:rsidRPr="001D51F2">
        <w:rPr>
          <w:rFonts w:ascii="Arial Narrow" w:hAnsi="Arial Narrow" w:cstheme="minorHAnsi"/>
        </w:rPr>
        <w:t xml:space="preserve">                                                                                                        Huacho, </w:t>
      </w:r>
      <w:r>
        <w:rPr>
          <w:rFonts w:ascii="Arial Narrow" w:hAnsi="Arial Narrow" w:cstheme="minorHAnsi"/>
        </w:rPr>
        <w:t>8 º de Setiembre</w:t>
      </w:r>
      <w:r w:rsidRPr="001D51F2">
        <w:rPr>
          <w:rFonts w:ascii="Arial Narrow" w:hAnsi="Arial Narrow" w:cstheme="minorHAnsi"/>
        </w:rPr>
        <w:t xml:space="preserve">   del 201</w:t>
      </w:r>
      <w:r>
        <w:rPr>
          <w:rFonts w:ascii="Arial Narrow" w:hAnsi="Arial Narrow" w:cstheme="minorHAnsi"/>
        </w:rPr>
        <w:t>4</w:t>
      </w:r>
    </w:p>
    <w:p w:rsidR="00B36365" w:rsidRPr="00C305C4" w:rsidRDefault="00B36365" w:rsidP="00B36365">
      <w:pPr>
        <w:pStyle w:val="Prrafodelista"/>
        <w:tabs>
          <w:tab w:val="center" w:pos="4419"/>
          <w:tab w:val="left" w:pos="7800"/>
        </w:tabs>
        <w:jc w:val="right"/>
        <w:rPr>
          <w:rFonts w:cstheme="minorHAnsi"/>
          <w:b/>
          <w:sz w:val="24"/>
          <w:szCs w:val="24"/>
        </w:rPr>
      </w:pPr>
    </w:p>
    <w:p w:rsidR="00954627" w:rsidRDefault="00954627"/>
    <w:sectPr w:rsidR="00954627" w:rsidSect="00B36365">
      <w:type w:val="continuous"/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28D"/>
    <w:multiLevelType w:val="multilevel"/>
    <w:tmpl w:val="0052A140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252126F"/>
    <w:multiLevelType w:val="hybridMultilevel"/>
    <w:tmpl w:val="1364208A"/>
    <w:lvl w:ilvl="0" w:tplc="14F672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014675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A53366B"/>
    <w:multiLevelType w:val="hybridMultilevel"/>
    <w:tmpl w:val="8DF8DFC4"/>
    <w:lvl w:ilvl="0" w:tplc="8DA45D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5D1CAA"/>
    <w:multiLevelType w:val="hybridMultilevel"/>
    <w:tmpl w:val="4364E714"/>
    <w:lvl w:ilvl="0" w:tplc="34122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267F8A"/>
    <w:multiLevelType w:val="hybridMultilevel"/>
    <w:tmpl w:val="4BC649AA"/>
    <w:lvl w:ilvl="0" w:tplc="99B421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D7E0EE6"/>
    <w:multiLevelType w:val="multilevel"/>
    <w:tmpl w:val="FA86735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6FD6643"/>
    <w:multiLevelType w:val="multilevel"/>
    <w:tmpl w:val="491AC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65"/>
    <w:rsid w:val="0001059D"/>
    <w:rsid w:val="0002246B"/>
    <w:rsid w:val="00157D92"/>
    <w:rsid w:val="002D2BCC"/>
    <w:rsid w:val="003254B5"/>
    <w:rsid w:val="0037218E"/>
    <w:rsid w:val="004634E2"/>
    <w:rsid w:val="00477C37"/>
    <w:rsid w:val="005147FF"/>
    <w:rsid w:val="005D6376"/>
    <w:rsid w:val="00610B4D"/>
    <w:rsid w:val="006E044D"/>
    <w:rsid w:val="00762CD7"/>
    <w:rsid w:val="007967BF"/>
    <w:rsid w:val="00942A1F"/>
    <w:rsid w:val="00954627"/>
    <w:rsid w:val="00A07545"/>
    <w:rsid w:val="00AF30A4"/>
    <w:rsid w:val="00B2430E"/>
    <w:rsid w:val="00B36365"/>
    <w:rsid w:val="00B6639F"/>
    <w:rsid w:val="00B83906"/>
    <w:rsid w:val="00D157E6"/>
    <w:rsid w:val="00D515AD"/>
    <w:rsid w:val="00DD27B2"/>
    <w:rsid w:val="00DD4C26"/>
    <w:rsid w:val="00EA6EAF"/>
    <w:rsid w:val="00FB3E3C"/>
    <w:rsid w:val="00FD1B54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65"/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796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63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636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3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967BF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65"/>
    <w:rPr>
      <w:lang w:val="es-MX"/>
    </w:rPr>
  </w:style>
  <w:style w:type="paragraph" w:styleId="Ttulo2">
    <w:name w:val="heading 2"/>
    <w:basedOn w:val="Normal"/>
    <w:link w:val="Ttulo2Car"/>
    <w:uiPriority w:val="9"/>
    <w:qFormat/>
    <w:rsid w:val="00796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63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636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3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967BF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virro-24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1170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2014-09-15T14:55:00Z</cp:lastPrinted>
  <dcterms:created xsi:type="dcterms:W3CDTF">2014-09-19T12:57:00Z</dcterms:created>
  <dcterms:modified xsi:type="dcterms:W3CDTF">2014-09-19T12:57:00Z</dcterms:modified>
</cp:coreProperties>
</file>