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C4" w:rsidRPr="004E2AC4" w:rsidRDefault="004E2AC4" w:rsidP="004E2AC4">
      <w:pPr>
        <w:tabs>
          <w:tab w:val="center" w:pos="4252"/>
          <w:tab w:val="right" w:pos="8504"/>
        </w:tabs>
        <w:spacing w:after="160" w:line="259" w:lineRule="auto"/>
        <w:ind w:left="3261" w:hanging="1845"/>
        <w:rPr>
          <w:rFonts w:eastAsiaTheme="minorEastAsia"/>
          <w:b/>
          <w:lang w:val="es-PE" w:eastAsia="es-PE"/>
        </w:rPr>
      </w:pPr>
      <w:r w:rsidRPr="004E2AC4">
        <w:rPr>
          <w:rFonts w:eastAsiaTheme="minorEastAsia"/>
          <w:b/>
          <w:noProof/>
          <w:lang w:val="es-PE" w:eastAsia="es-PE"/>
        </w:rPr>
        <w:drawing>
          <wp:anchor distT="0" distB="0" distL="114300" distR="114300" simplePos="0" relativeHeight="251660288" behindDoc="1" locked="0" layoutInCell="1" allowOverlap="1" wp14:anchorId="1EF7F09E" wp14:editId="28D69825">
            <wp:simplePos x="0" y="0"/>
            <wp:positionH relativeFrom="column">
              <wp:posOffset>-213995</wp:posOffset>
            </wp:positionH>
            <wp:positionV relativeFrom="paragraph">
              <wp:posOffset>-315595</wp:posOffset>
            </wp:positionV>
            <wp:extent cx="894303" cy="834014"/>
            <wp:effectExtent l="0" t="0" r="1270" b="4445"/>
            <wp:wrapNone/>
            <wp:docPr id="3" name="Imagen 3" descr="Descripción: Vich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Vicha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4303" cy="834014"/>
                    </a:xfrm>
                    <a:prstGeom prst="rect">
                      <a:avLst/>
                    </a:prstGeom>
                    <a:noFill/>
                  </pic:spPr>
                </pic:pic>
              </a:graphicData>
            </a:graphic>
            <wp14:sizeRelH relativeFrom="margin">
              <wp14:pctWidth>0</wp14:pctWidth>
            </wp14:sizeRelH>
            <wp14:sizeRelV relativeFrom="margin">
              <wp14:pctHeight>0</wp14:pctHeight>
            </wp14:sizeRelV>
          </wp:anchor>
        </w:drawing>
      </w:r>
      <w:r w:rsidRPr="004E2AC4">
        <w:rPr>
          <w:rFonts w:eastAsiaTheme="minorEastAsia"/>
          <w:b/>
          <w:noProof/>
          <w:lang w:val="es-ES" w:eastAsia="es-ES"/>
        </w:rPr>
        <w:t xml:space="preserve">UNIVERSIDAD NACIONAL JOSÉ FAUSTINO SANCHEZ </w:t>
      </w:r>
      <w:r>
        <w:rPr>
          <w:rFonts w:eastAsiaTheme="minorEastAsia"/>
          <w:b/>
          <w:noProof/>
          <w:lang w:val="es-ES" w:eastAsia="es-ES"/>
        </w:rPr>
        <w:t xml:space="preserve">  </w:t>
      </w:r>
      <w:r w:rsidRPr="004E2AC4">
        <w:rPr>
          <w:rFonts w:eastAsiaTheme="minorEastAsia"/>
          <w:b/>
          <w:noProof/>
          <w:lang w:val="es-ES" w:eastAsia="es-ES"/>
        </w:rPr>
        <w:t>CARRION</w:t>
      </w:r>
    </w:p>
    <w:p w:rsidR="004E2AC4" w:rsidRPr="004E2AC4" w:rsidRDefault="004E2AC4" w:rsidP="004E2AC4">
      <w:pPr>
        <w:tabs>
          <w:tab w:val="center" w:pos="4252"/>
          <w:tab w:val="center" w:pos="4535"/>
          <w:tab w:val="left" w:pos="8325"/>
          <w:tab w:val="right" w:pos="8504"/>
        </w:tabs>
        <w:spacing w:after="160" w:line="259" w:lineRule="auto"/>
        <w:rPr>
          <w:rFonts w:eastAsiaTheme="minorEastAsia"/>
          <w:b/>
          <w:lang w:val="es-PE" w:eastAsia="es-PE"/>
        </w:rPr>
      </w:pPr>
      <w:r w:rsidRPr="004E2AC4">
        <w:rPr>
          <w:rFonts w:eastAsiaTheme="minorEastAsia"/>
          <w:b/>
          <w:lang w:val="es-PE" w:eastAsia="es-PE"/>
        </w:rPr>
        <w:t xml:space="preserve">                   </w:t>
      </w:r>
      <w:r w:rsidRPr="004E2AC4">
        <w:rPr>
          <w:rFonts w:eastAsiaTheme="minorEastAsia"/>
          <w:b/>
          <w:lang w:val="es-PE" w:eastAsia="es-PE"/>
        </w:rPr>
        <w:tab/>
      </w:r>
      <w:r>
        <w:rPr>
          <w:rFonts w:eastAsiaTheme="minorEastAsia"/>
          <w:b/>
          <w:lang w:val="es-PE" w:eastAsia="es-PE"/>
        </w:rPr>
        <w:t>FACULTAD DE DERECHO Y CIENCIAS POLÍTICAS</w:t>
      </w:r>
    </w:p>
    <w:p w:rsidR="005204D9" w:rsidRPr="004E2AC4" w:rsidRDefault="005204D9" w:rsidP="005204D9">
      <w:pPr>
        <w:jc w:val="center"/>
        <w:rPr>
          <w:b/>
          <w:bCs/>
          <w:noProof/>
          <w:lang w:val="es-PE" w:eastAsia="es-ES"/>
          <w14:shadow w14:blurRad="50800" w14:dist="38100" w14:dir="2700000" w14:sx="100000" w14:sy="100000" w14:kx="0" w14:ky="0" w14:algn="tl">
            <w14:srgbClr w14:val="000000">
              <w14:alpha w14:val="60000"/>
            </w14:srgbClr>
          </w14:shadow>
        </w:rPr>
      </w:pPr>
    </w:p>
    <w:p w:rsidR="005204D9" w:rsidRDefault="005204D9" w:rsidP="00212D31">
      <w:pPr>
        <w:jc w:val="center"/>
        <w:rPr>
          <w:b/>
          <w:bCs/>
          <w:sz w:val="32"/>
          <w:szCs w:val="32"/>
        </w:rPr>
      </w:pPr>
      <w:r>
        <w:rPr>
          <w:b/>
          <w:bCs/>
          <w:sz w:val="32"/>
          <w:szCs w:val="32"/>
        </w:rPr>
        <w:t>SÍLABO</w:t>
      </w:r>
    </w:p>
    <w:p w:rsidR="005204D9" w:rsidRPr="00B93517" w:rsidRDefault="00212D31" w:rsidP="005204D9">
      <w:pPr>
        <w:jc w:val="center"/>
        <w:rPr>
          <w:b/>
          <w:bCs/>
          <w:sz w:val="28"/>
          <w:szCs w:val="28"/>
        </w:rPr>
      </w:pPr>
      <w:r>
        <w:rPr>
          <w:b/>
          <w:bCs/>
          <w:sz w:val="28"/>
          <w:szCs w:val="28"/>
        </w:rPr>
        <w:t xml:space="preserve">ASIGNATURA: </w:t>
      </w:r>
      <w:r w:rsidR="005204D9" w:rsidRPr="00B93517">
        <w:rPr>
          <w:b/>
          <w:bCs/>
          <w:sz w:val="28"/>
          <w:szCs w:val="28"/>
        </w:rPr>
        <w:t>DERECHO INTERNACIONAL PÚBLICO</w:t>
      </w:r>
    </w:p>
    <w:p w:rsidR="005204D9" w:rsidRDefault="005204D9" w:rsidP="005204D9">
      <w:pPr>
        <w:jc w:val="center"/>
        <w:rPr>
          <w:b/>
          <w:bCs/>
        </w:rPr>
      </w:pPr>
    </w:p>
    <w:p w:rsidR="005204D9" w:rsidRDefault="005204D9" w:rsidP="005204D9">
      <w:pPr>
        <w:jc w:val="center"/>
        <w:rPr>
          <w:b/>
          <w:bCs/>
          <w:noProof/>
          <w:lang w:val="es-ES" w:eastAsia="es-ES"/>
          <w14:shadow w14:blurRad="50800" w14:dist="38100" w14:dir="2700000" w14:sx="100000" w14:sy="100000" w14:kx="0" w14:ky="0" w14:algn="tl">
            <w14:srgbClr w14:val="000000">
              <w14:alpha w14:val="60000"/>
            </w14:srgbClr>
          </w14:shadow>
        </w:rPr>
      </w:pPr>
    </w:p>
    <w:p w:rsidR="005204D9" w:rsidRDefault="005204D9" w:rsidP="005204D9">
      <w:pPr>
        <w:pStyle w:val="Prrafodelista"/>
        <w:numPr>
          <w:ilvl w:val="0"/>
          <w:numId w:val="1"/>
        </w:numPr>
        <w:tabs>
          <w:tab w:val="left" w:pos="720"/>
        </w:tabs>
        <w:rPr>
          <w:b/>
          <w:noProof/>
          <w:lang w:val="es-ES" w:eastAsia="es-ES"/>
          <w14:shadow w14:blurRad="50800" w14:dist="38100" w14:dir="2700000" w14:sx="100000" w14:sy="100000" w14:kx="0" w14:ky="0" w14:algn="tl">
            <w14:srgbClr w14:val="000000">
              <w14:alpha w14:val="60000"/>
            </w14:srgbClr>
          </w14:shadow>
        </w:rPr>
      </w:pPr>
      <w:r>
        <w:rPr>
          <w:b/>
          <w:noProof/>
          <w:lang w:val="es-ES" w:eastAsia="es-ES"/>
          <w14:shadow w14:blurRad="50800" w14:dist="38100" w14:dir="2700000" w14:sx="100000" w14:sy="100000" w14:kx="0" w14:ky="0" w14:algn="tl">
            <w14:srgbClr w14:val="000000">
              <w14:alpha w14:val="60000"/>
            </w14:srgbClr>
          </w14:shadow>
        </w:rPr>
        <w:t xml:space="preserve">DATOS INFORMATIVOS: </w:t>
      </w:r>
    </w:p>
    <w:p w:rsidR="005204D9" w:rsidRDefault="005204D9" w:rsidP="005204D9">
      <w:pPr>
        <w:pStyle w:val="Prrafodelista"/>
        <w:tabs>
          <w:tab w:val="left" w:pos="720"/>
        </w:tabs>
        <w:ind w:left="1080"/>
        <w:rPr>
          <w:b/>
          <w:noProof/>
          <w:lang w:val="es-ES" w:eastAsia="es-ES"/>
          <w14:shadow w14:blurRad="50800" w14:dist="38100" w14:dir="2700000" w14:sx="100000" w14:sy="100000" w14:kx="0" w14:ky="0" w14:algn="tl">
            <w14:srgbClr w14:val="000000">
              <w14:alpha w14:val="60000"/>
            </w14:srgbClr>
          </w14:shadow>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3284"/>
        <w:gridCol w:w="283"/>
        <w:gridCol w:w="6525"/>
      </w:tblGrid>
      <w:tr w:rsidR="005204D9" w:rsidTr="00212D31">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212D31">
            <w:pPr>
              <w:numPr>
                <w:ilvl w:val="1"/>
                <w:numId w:val="2"/>
              </w:numPr>
              <w:tabs>
                <w:tab w:val="left" w:pos="459"/>
              </w:tabs>
              <w:spacing w:line="276" w:lineRule="auto"/>
              <w:contextualSpacing/>
              <w:rPr>
                <w:rFonts w:eastAsia="Calibri"/>
                <w:lang w:val="es-PE" w:eastAsia="en-US"/>
              </w:rPr>
            </w:pPr>
            <w:r>
              <w:rPr>
                <w:rFonts w:eastAsia="Calibri"/>
                <w:lang w:val="es-PE" w:eastAsia="en-US"/>
              </w:rPr>
              <w:t xml:space="preserve"> </w:t>
            </w:r>
            <w:r w:rsidR="005204D9">
              <w:rPr>
                <w:rFonts w:eastAsia="Calibri"/>
                <w:lang w:val="es-PE" w:eastAsia="en-US"/>
              </w:rPr>
              <w:t xml:space="preserve">Escuela Profesional   </w:t>
            </w:r>
          </w:p>
        </w:tc>
        <w:tc>
          <w:tcPr>
            <w:tcW w:w="283"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w:t>
            </w:r>
          </w:p>
        </w:tc>
        <w:tc>
          <w:tcPr>
            <w:tcW w:w="6525" w:type="dxa"/>
            <w:tcBorders>
              <w:top w:val="nil"/>
              <w:left w:val="nil"/>
              <w:bottom w:val="nil"/>
              <w:right w:val="nil"/>
            </w:tcBorders>
            <w:shd w:val="clear" w:color="auto" w:fill="FFFFFF"/>
            <w:hideMark/>
          </w:tcPr>
          <w:p w:rsidR="005204D9" w:rsidRDefault="005204D9">
            <w:pPr>
              <w:spacing w:line="276" w:lineRule="auto"/>
              <w:ind w:left="34" w:right="1091" w:firstLine="55"/>
              <w:rPr>
                <w:rFonts w:eastAsia="Calibri"/>
                <w:lang w:val="es-PE" w:eastAsia="en-US"/>
              </w:rPr>
            </w:pPr>
            <w:r>
              <w:rPr>
                <w:rFonts w:eastAsia="Calibri"/>
                <w:lang w:val="es-PE" w:eastAsia="en-US"/>
              </w:rPr>
              <w:t>Derecho y Ciencia Política</w:t>
            </w:r>
          </w:p>
        </w:tc>
      </w:tr>
      <w:tr w:rsidR="005204D9" w:rsidTr="00212D31">
        <w:trPr>
          <w:trHeight w:val="242"/>
        </w:trPr>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212D31">
            <w:pPr>
              <w:numPr>
                <w:ilvl w:val="1"/>
                <w:numId w:val="2"/>
              </w:numPr>
              <w:tabs>
                <w:tab w:val="left" w:pos="459"/>
              </w:tabs>
              <w:spacing w:line="276" w:lineRule="auto"/>
              <w:contextualSpacing/>
              <w:rPr>
                <w:rFonts w:eastAsia="Calibri"/>
                <w:lang w:val="es-PE" w:eastAsia="en-US"/>
              </w:rPr>
            </w:pPr>
            <w:r>
              <w:rPr>
                <w:rFonts w:eastAsia="Calibri"/>
                <w:lang w:val="es-PE" w:eastAsia="en-US"/>
              </w:rPr>
              <w:t xml:space="preserve"> </w:t>
            </w:r>
            <w:r w:rsidR="005204D9">
              <w:rPr>
                <w:rFonts w:eastAsia="Calibri"/>
                <w:lang w:val="es-PE" w:eastAsia="en-US"/>
              </w:rPr>
              <w:t>Semestre Académico</w:t>
            </w:r>
          </w:p>
        </w:tc>
        <w:tc>
          <w:tcPr>
            <w:tcW w:w="283"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w:t>
            </w:r>
          </w:p>
        </w:tc>
        <w:tc>
          <w:tcPr>
            <w:tcW w:w="6525" w:type="dxa"/>
            <w:tcBorders>
              <w:top w:val="nil"/>
              <w:left w:val="nil"/>
              <w:bottom w:val="nil"/>
              <w:right w:val="nil"/>
            </w:tcBorders>
            <w:shd w:val="clear" w:color="auto" w:fill="FFFFFF"/>
            <w:hideMark/>
          </w:tcPr>
          <w:p w:rsidR="005204D9" w:rsidRDefault="005204D9">
            <w:pPr>
              <w:spacing w:line="276" w:lineRule="auto"/>
              <w:ind w:left="34" w:right="1091" w:firstLine="55"/>
              <w:rPr>
                <w:rFonts w:eastAsia="Calibri"/>
                <w:lang w:val="es-PE" w:eastAsia="en-US"/>
              </w:rPr>
            </w:pPr>
            <w:r>
              <w:rPr>
                <w:rFonts w:eastAsia="Calibri"/>
                <w:lang w:val="es-PE" w:eastAsia="en-US"/>
              </w:rPr>
              <w:t>2018-I</w:t>
            </w:r>
          </w:p>
        </w:tc>
      </w:tr>
      <w:tr w:rsidR="005204D9" w:rsidTr="00212D31">
        <w:trPr>
          <w:trHeight w:val="242"/>
        </w:trPr>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5204D9">
            <w:pPr>
              <w:spacing w:line="276" w:lineRule="auto"/>
              <w:ind w:left="480" w:hanging="425"/>
              <w:rPr>
                <w:rFonts w:eastAsia="Calibri"/>
                <w:lang w:val="es-PE" w:eastAsia="en-US"/>
              </w:rPr>
            </w:pPr>
            <w:r>
              <w:rPr>
                <w:rFonts w:eastAsia="Calibri"/>
                <w:lang w:val="es-PE" w:eastAsia="en-US"/>
              </w:rPr>
              <w:t xml:space="preserve">       Fecha de inicio</w:t>
            </w:r>
          </w:p>
        </w:tc>
        <w:tc>
          <w:tcPr>
            <w:tcW w:w="283"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w:t>
            </w:r>
          </w:p>
        </w:tc>
        <w:tc>
          <w:tcPr>
            <w:tcW w:w="6525" w:type="dxa"/>
            <w:tcBorders>
              <w:top w:val="nil"/>
              <w:left w:val="nil"/>
              <w:bottom w:val="nil"/>
              <w:right w:val="nil"/>
            </w:tcBorders>
            <w:shd w:val="clear" w:color="auto" w:fill="FFFFFF"/>
            <w:hideMark/>
          </w:tcPr>
          <w:p w:rsidR="005204D9" w:rsidRDefault="005204D9">
            <w:pPr>
              <w:spacing w:line="276" w:lineRule="auto"/>
              <w:ind w:left="34" w:right="1091" w:firstLine="55"/>
              <w:rPr>
                <w:rFonts w:eastAsia="Calibri"/>
                <w:lang w:val="es-PE" w:eastAsia="en-US"/>
              </w:rPr>
            </w:pPr>
            <w:r>
              <w:rPr>
                <w:rFonts w:eastAsia="Calibri"/>
                <w:color w:val="000000"/>
                <w:lang w:eastAsia="es-ES"/>
              </w:rPr>
              <w:t>02 de abril</w:t>
            </w:r>
          </w:p>
        </w:tc>
      </w:tr>
      <w:tr w:rsidR="005204D9" w:rsidTr="00212D31">
        <w:trPr>
          <w:trHeight w:val="242"/>
        </w:trPr>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 xml:space="preserve">       Fecha de término</w:t>
            </w:r>
          </w:p>
        </w:tc>
        <w:tc>
          <w:tcPr>
            <w:tcW w:w="283"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w:t>
            </w:r>
          </w:p>
        </w:tc>
        <w:tc>
          <w:tcPr>
            <w:tcW w:w="6525" w:type="dxa"/>
            <w:tcBorders>
              <w:top w:val="nil"/>
              <w:left w:val="nil"/>
              <w:bottom w:val="nil"/>
              <w:right w:val="nil"/>
            </w:tcBorders>
            <w:shd w:val="clear" w:color="auto" w:fill="FFFFFF"/>
            <w:hideMark/>
          </w:tcPr>
          <w:p w:rsidR="005204D9" w:rsidRPr="00212D31" w:rsidRDefault="005204D9" w:rsidP="00212D31">
            <w:pPr>
              <w:pStyle w:val="Prrafodelista"/>
              <w:numPr>
                <w:ilvl w:val="0"/>
                <w:numId w:val="23"/>
              </w:numPr>
              <w:spacing w:line="276" w:lineRule="auto"/>
              <w:ind w:right="1091"/>
              <w:rPr>
                <w:rFonts w:eastAsia="Calibri"/>
                <w:lang w:val="es-PE" w:eastAsia="en-US"/>
              </w:rPr>
            </w:pPr>
            <w:r w:rsidRPr="00212D31">
              <w:rPr>
                <w:rFonts w:eastAsia="Calibri"/>
                <w:color w:val="000000"/>
                <w:lang w:eastAsia="es-ES"/>
              </w:rPr>
              <w:t>de julio</w:t>
            </w:r>
          </w:p>
        </w:tc>
      </w:tr>
      <w:tr w:rsidR="005204D9" w:rsidTr="00212D31">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212D31" w:rsidP="00212D31">
            <w:pPr>
              <w:tabs>
                <w:tab w:val="left" w:pos="33"/>
              </w:tabs>
              <w:spacing w:line="276" w:lineRule="auto"/>
              <w:ind w:left="33"/>
              <w:contextualSpacing/>
              <w:rPr>
                <w:rFonts w:eastAsia="Calibri"/>
                <w:lang w:val="es-PE" w:eastAsia="en-US"/>
              </w:rPr>
            </w:pPr>
            <w:r>
              <w:rPr>
                <w:rFonts w:eastAsia="Calibri"/>
                <w:lang w:val="es-PE" w:eastAsia="en-US"/>
              </w:rPr>
              <w:t xml:space="preserve">1.3. </w:t>
            </w:r>
            <w:r w:rsidR="005204D9">
              <w:rPr>
                <w:rFonts w:eastAsia="Calibri"/>
                <w:lang w:val="es-PE" w:eastAsia="en-US"/>
              </w:rPr>
              <w:t>Código de la asignatura</w:t>
            </w:r>
          </w:p>
        </w:tc>
        <w:tc>
          <w:tcPr>
            <w:tcW w:w="283"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w:t>
            </w:r>
          </w:p>
        </w:tc>
        <w:tc>
          <w:tcPr>
            <w:tcW w:w="6525" w:type="dxa"/>
            <w:tcBorders>
              <w:top w:val="nil"/>
              <w:left w:val="nil"/>
              <w:bottom w:val="nil"/>
              <w:right w:val="nil"/>
            </w:tcBorders>
            <w:shd w:val="clear" w:color="auto" w:fill="FFFFFF"/>
            <w:hideMark/>
          </w:tcPr>
          <w:p w:rsidR="005204D9" w:rsidRDefault="00B64CA6" w:rsidP="00DF1D32">
            <w:pPr>
              <w:tabs>
                <w:tab w:val="left" w:pos="2032"/>
              </w:tabs>
              <w:spacing w:line="276" w:lineRule="auto"/>
              <w:ind w:left="34" w:right="746"/>
              <w:rPr>
                <w:rFonts w:eastAsia="Calibri"/>
                <w:lang w:val="es-PE" w:eastAsia="en-US"/>
              </w:rPr>
            </w:pPr>
            <w:r>
              <w:rPr>
                <w:rFonts w:eastAsia="Calibri"/>
                <w:lang w:val="es-PE" w:eastAsia="en-US"/>
              </w:rPr>
              <w:t>555</w:t>
            </w:r>
            <w:r w:rsidR="005204D9">
              <w:rPr>
                <w:rFonts w:eastAsia="Calibri"/>
                <w:lang w:val="es-PE" w:eastAsia="en-US"/>
              </w:rPr>
              <w:tab/>
            </w:r>
          </w:p>
        </w:tc>
      </w:tr>
      <w:tr w:rsidR="005204D9" w:rsidTr="00212D31">
        <w:trPr>
          <w:trHeight w:val="186"/>
        </w:trPr>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212D31">
            <w:pPr>
              <w:spacing w:line="276" w:lineRule="auto"/>
              <w:rPr>
                <w:rFonts w:eastAsia="Calibri"/>
                <w:lang w:val="es-PE" w:eastAsia="en-US"/>
              </w:rPr>
            </w:pPr>
            <w:r>
              <w:rPr>
                <w:rFonts w:eastAsia="Calibri"/>
                <w:lang w:val="es-PE" w:eastAsia="en-US"/>
              </w:rPr>
              <w:t xml:space="preserve"> 1.4</w:t>
            </w:r>
            <w:r w:rsidR="005204D9">
              <w:rPr>
                <w:rFonts w:eastAsia="Calibri"/>
                <w:lang w:val="es-PE" w:eastAsia="en-US"/>
              </w:rPr>
              <w:t>. Ciclo</w:t>
            </w:r>
          </w:p>
        </w:tc>
        <w:tc>
          <w:tcPr>
            <w:tcW w:w="283"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w:t>
            </w:r>
          </w:p>
        </w:tc>
        <w:tc>
          <w:tcPr>
            <w:tcW w:w="6525" w:type="dxa"/>
            <w:tcBorders>
              <w:top w:val="nil"/>
              <w:left w:val="nil"/>
              <w:bottom w:val="nil"/>
              <w:right w:val="nil"/>
            </w:tcBorders>
            <w:shd w:val="clear" w:color="auto" w:fill="FFFFFF"/>
            <w:hideMark/>
          </w:tcPr>
          <w:p w:rsidR="005204D9" w:rsidRDefault="00DF1D32">
            <w:pPr>
              <w:tabs>
                <w:tab w:val="left" w:pos="1872"/>
              </w:tabs>
              <w:spacing w:line="276" w:lineRule="auto"/>
              <w:ind w:left="34" w:right="746" w:firstLine="55"/>
              <w:rPr>
                <w:rFonts w:eastAsia="Calibri"/>
                <w:lang w:val="es-PE" w:eastAsia="en-US"/>
              </w:rPr>
            </w:pPr>
            <w:r>
              <w:rPr>
                <w:rFonts w:eastAsia="Calibri"/>
                <w:lang w:val="es-PE" w:eastAsia="en-US"/>
              </w:rPr>
              <w:t>X</w:t>
            </w:r>
          </w:p>
        </w:tc>
      </w:tr>
      <w:tr w:rsidR="005204D9" w:rsidTr="00212D31">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212D31">
            <w:pPr>
              <w:spacing w:line="276" w:lineRule="auto"/>
              <w:ind w:firstLine="55"/>
              <w:rPr>
                <w:rFonts w:eastAsia="Calibri"/>
                <w:lang w:val="es-PE" w:eastAsia="en-US"/>
              </w:rPr>
            </w:pPr>
            <w:r>
              <w:rPr>
                <w:rFonts w:eastAsia="Calibri"/>
                <w:lang w:val="es-PE" w:eastAsia="en-US"/>
              </w:rPr>
              <w:t>1.5</w:t>
            </w:r>
            <w:r w:rsidR="005204D9">
              <w:rPr>
                <w:rFonts w:eastAsia="Calibri"/>
                <w:lang w:val="es-PE" w:eastAsia="en-US"/>
              </w:rPr>
              <w:t>. Créditos</w:t>
            </w:r>
          </w:p>
        </w:tc>
        <w:tc>
          <w:tcPr>
            <w:tcW w:w="283"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w:t>
            </w:r>
          </w:p>
        </w:tc>
        <w:tc>
          <w:tcPr>
            <w:tcW w:w="6525" w:type="dxa"/>
            <w:tcBorders>
              <w:top w:val="nil"/>
              <w:left w:val="nil"/>
              <w:bottom w:val="nil"/>
              <w:right w:val="nil"/>
            </w:tcBorders>
            <w:shd w:val="clear" w:color="auto" w:fill="FFFFFF"/>
            <w:hideMark/>
          </w:tcPr>
          <w:p w:rsidR="005204D9" w:rsidRDefault="005204D9">
            <w:pPr>
              <w:spacing w:line="276" w:lineRule="auto"/>
              <w:ind w:left="34" w:right="746" w:firstLine="55"/>
              <w:rPr>
                <w:rFonts w:eastAsia="Calibri"/>
                <w:lang w:val="es-PE" w:eastAsia="en-US"/>
              </w:rPr>
            </w:pPr>
            <w:r>
              <w:rPr>
                <w:rFonts w:eastAsia="Calibri"/>
                <w:lang w:val="es-PE" w:eastAsia="en-US"/>
              </w:rPr>
              <w:t>03</w:t>
            </w:r>
          </w:p>
        </w:tc>
      </w:tr>
      <w:tr w:rsidR="005204D9" w:rsidTr="00212D31">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212D31">
            <w:pPr>
              <w:spacing w:line="276" w:lineRule="auto"/>
              <w:ind w:left="459" w:hanging="459"/>
              <w:rPr>
                <w:rFonts w:eastAsia="Calibri"/>
                <w:lang w:val="es-PE" w:eastAsia="en-US"/>
              </w:rPr>
            </w:pPr>
            <w:r>
              <w:rPr>
                <w:rFonts w:eastAsia="Calibri"/>
                <w:lang w:val="es-PE" w:eastAsia="en-US"/>
              </w:rPr>
              <w:t xml:space="preserve"> 1.6</w:t>
            </w:r>
            <w:r w:rsidR="005204D9">
              <w:rPr>
                <w:rFonts w:eastAsia="Calibri"/>
                <w:lang w:val="es-PE" w:eastAsia="en-US"/>
              </w:rPr>
              <w:t>. Horas semanales totales</w:t>
            </w:r>
          </w:p>
        </w:tc>
        <w:tc>
          <w:tcPr>
            <w:tcW w:w="283"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w:t>
            </w:r>
          </w:p>
        </w:tc>
        <w:tc>
          <w:tcPr>
            <w:tcW w:w="6525" w:type="dxa"/>
            <w:tcBorders>
              <w:top w:val="nil"/>
              <w:left w:val="nil"/>
              <w:bottom w:val="nil"/>
              <w:right w:val="nil"/>
            </w:tcBorders>
            <w:shd w:val="clear" w:color="auto" w:fill="FFFFFF"/>
            <w:hideMark/>
          </w:tcPr>
          <w:p w:rsidR="005204D9" w:rsidRDefault="00DF1D32">
            <w:pPr>
              <w:spacing w:line="276" w:lineRule="auto"/>
              <w:ind w:left="34" w:right="604" w:firstLine="55"/>
              <w:rPr>
                <w:rFonts w:eastAsia="Calibri"/>
                <w:lang w:val="es-PE" w:eastAsia="en-US"/>
              </w:rPr>
            </w:pPr>
            <w:r>
              <w:rPr>
                <w:rFonts w:eastAsia="Calibri"/>
                <w:lang w:val="es-PE" w:eastAsia="en-US"/>
              </w:rPr>
              <w:t>04</w:t>
            </w:r>
          </w:p>
        </w:tc>
      </w:tr>
      <w:tr w:rsidR="005204D9" w:rsidTr="00212D31">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 xml:space="preserve">       Horas teóricas</w:t>
            </w:r>
          </w:p>
        </w:tc>
        <w:tc>
          <w:tcPr>
            <w:tcW w:w="283" w:type="dxa"/>
            <w:tcBorders>
              <w:top w:val="nil"/>
              <w:left w:val="nil"/>
              <w:bottom w:val="nil"/>
              <w:right w:val="nil"/>
            </w:tcBorders>
            <w:shd w:val="clear" w:color="auto" w:fill="FFFFFF"/>
          </w:tcPr>
          <w:p w:rsidR="005204D9" w:rsidRDefault="005204D9">
            <w:pPr>
              <w:spacing w:line="276" w:lineRule="auto"/>
              <w:ind w:firstLine="55"/>
              <w:rPr>
                <w:rFonts w:eastAsia="Calibri"/>
                <w:lang w:val="es-PE" w:eastAsia="en-US"/>
              </w:rPr>
            </w:pPr>
          </w:p>
        </w:tc>
        <w:tc>
          <w:tcPr>
            <w:tcW w:w="6525" w:type="dxa"/>
            <w:tcBorders>
              <w:top w:val="nil"/>
              <w:left w:val="nil"/>
              <w:bottom w:val="nil"/>
              <w:right w:val="nil"/>
            </w:tcBorders>
            <w:shd w:val="clear" w:color="auto" w:fill="FFFFFF"/>
            <w:hideMark/>
          </w:tcPr>
          <w:p w:rsidR="005204D9" w:rsidRDefault="00DF1D32">
            <w:pPr>
              <w:spacing w:line="276" w:lineRule="auto"/>
              <w:ind w:left="34" w:right="746" w:firstLine="55"/>
              <w:rPr>
                <w:rFonts w:eastAsia="Calibri"/>
                <w:lang w:val="es-PE" w:eastAsia="en-US"/>
              </w:rPr>
            </w:pPr>
            <w:r>
              <w:rPr>
                <w:rFonts w:eastAsia="Calibri"/>
                <w:lang w:val="es-PE" w:eastAsia="en-US"/>
              </w:rPr>
              <w:t>02</w:t>
            </w:r>
          </w:p>
        </w:tc>
      </w:tr>
      <w:tr w:rsidR="005204D9" w:rsidTr="00212D31">
        <w:tc>
          <w:tcPr>
            <w:tcW w:w="393" w:type="dxa"/>
            <w:tcBorders>
              <w:top w:val="nil"/>
              <w:left w:val="nil"/>
              <w:bottom w:val="nil"/>
              <w:right w:val="nil"/>
            </w:tcBorders>
            <w:shd w:val="clear" w:color="auto" w:fill="FFFFFF"/>
          </w:tcPr>
          <w:p w:rsidR="005204D9" w:rsidRDefault="005204D9">
            <w:pPr>
              <w:spacing w:line="276" w:lineRule="auto"/>
              <w:rPr>
                <w:rFonts w:eastAsia="Calibri"/>
                <w:lang w:val="es-PE" w:eastAsia="en-US"/>
              </w:rPr>
            </w:pPr>
          </w:p>
        </w:tc>
        <w:tc>
          <w:tcPr>
            <w:tcW w:w="3284" w:type="dxa"/>
            <w:tcBorders>
              <w:top w:val="nil"/>
              <w:left w:val="nil"/>
              <w:bottom w:val="nil"/>
              <w:right w:val="nil"/>
            </w:tcBorders>
            <w:shd w:val="clear" w:color="auto" w:fill="FFFFFF"/>
            <w:hideMark/>
          </w:tcPr>
          <w:p w:rsidR="005204D9" w:rsidRDefault="005204D9">
            <w:pPr>
              <w:spacing w:line="276" w:lineRule="auto"/>
              <w:ind w:firstLine="55"/>
              <w:rPr>
                <w:rFonts w:eastAsia="Calibri"/>
                <w:lang w:val="es-PE" w:eastAsia="en-US"/>
              </w:rPr>
            </w:pPr>
            <w:r>
              <w:rPr>
                <w:rFonts w:eastAsia="Calibri"/>
                <w:lang w:val="es-PE" w:eastAsia="en-US"/>
              </w:rPr>
              <w:t xml:space="preserve">       Horas prácticas</w:t>
            </w:r>
          </w:p>
        </w:tc>
        <w:tc>
          <w:tcPr>
            <w:tcW w:w="283" w:type="dxa"/>
            <w:tcBorders>
              <w:top w:val="nil"/>
              <w:left w:val="nil"/>
              <w:bottom w:val="nil"/>
              <w:right w:val="nil"/>
            </w:tcBorders>
            <w:shd w:val="clear" w:color="auto" w:fill="FFFFFF"/>
          </w:tcPr>
          <w:p w:rsidR="005204D9" w:rsidRDefault="005204D9">
            <w:pPr>
              <w:spacing w:line="276" w:lineRule="auto"/>
              <w:ind w:firstLine="55"/>
              <w:rPr>
                <w:rFonts w:eastAsia="Calibri"/>
                <w:lang w:val="es-PE" w:eastAsia="en-US"/>
              </w:rPr>
            </w:pPr>
          </w:p>
        </w:tc>
        <w:tc>
          <w:tcPr>
            <w:tcW w:w="6525" w:type="dxa"/>
            <w:tcBorders>
              <w:top w:val="nil"/>
              <w:left w:val="nil"/>
              <w:bottom w:val="nil"/>
              <w:right w:val="nil"/>
            </w:tcBorders>
            <w:shd w:val="clear" w:color="auto" w:fill="FFFFFF"/>
            <w:hideMark/>
          </w:tcPr>
          <w:p w:rsidR="005204D9" w:rsidRDefault="00DF1D32">
            <w:pPr>
              <w:spacing w:line="276" w:lineRule="auto"/>
              <w:ind w:left="34" w:right="746" w:firstLine="55"/>
              <w:rPr>
                <w:rFonts w:eastAsia="Calibri"/>
                <w:lang w:val="es-PE" w:eastAsia="en-US"/>
              </w:rPr>
            </w:pPr>
            <w:r>
              <w:rPr>
                <w:rFonts w:eastAsia="Calibri"/>
                <w:lang w:val="es-PE" w:eastAsia="en-US"/>
              </w:rPr>
              <w:t>02</w:t>
            </w:r>
          </w:p>
        </w:tc>
      </w:tr>
    </w:tbl>
    <w:p w:rsidR="005204D9" w:rsidRDefault="00212D31" w:rsidP="005204D9">
      <w:pPr>
        <w:tabs>
          <w:tab w:val="left" w:pos="3686"/>
        </w:tabs>
        <w:jc w:val="both"/>
        <w:rPr>
          <w:color w:val="000000"/>
          <w:lang w:eastAsia="es-ES"/>
        </w:rPr>
      </w:pPr>
      <w:r>
        <w:rPr>
          <w:rFonts w:eastAsia="Calibri"/>
          <w:lang w:val="es-PE" w:eastAsia="en-US"/>
        </w:rPr>
        <w:t xml:space="preserve">       1.7</w:t>
      </w:r>
      <w:r w:rsidR="005204D9">
        <w:rPr>
          <w:rFonts w:eastAsia="Calibri"/>
          <w:lang w:val="es-PE" w:eastAsia="en-US"/>
        </w:rPr>
        <w:t>. Docente</w:t>
      </w:r>
      <w:r w:rsidR="005204D9">
        <w:rPr>
          <w:rFonts w:eastAsia="Calibri"/>
          <w:lang w:val="es-PE" w:eastAsia="en-US"/>
        </w:rPr>
        <w:tab/>
        <w:t xml:space="preserve"> :   </w:t>
      </w:r>
      <w:r w:rsidR="005204D9">
        <w:rPr>
          <w:color w:val="000000"/>
          <w:lang w:eastAsia="es-ES"/>
        </w:rPr>
        <w:t>Dr. Máximo Villarreal Salomé</w:t>
      </w:r>
    </w:p>
    <w:p w:rsidR="005204D9" w:rsidRDefault="00212D31" w:rsidP="005204D9">
      <w:pPr>
        <w:tabs>
          <w:tab w:val="left" w:pos="3686"/>
        </w:tabs>
        <w:ind w:left="426"/>
        <w:rPr>
          <w:rFonts w:eastAsia="Calibri"/>
          <w:lang w:val="es-PE" w:eastAsia="en-US"/>
        </w:rPr>
      </w:pPr>
      <w:r>
        <w:rPr>
          <w:color w:val="000000"/>
          <w:lang w:eastAsia="es-ES"/>
        </w:rPr>
        <w:t>1.8</w:t>
      </w:r>
      <w:r w:rsidR="005204D9">
        <w:rPr>
          <w:color w:val="000000"/>
          <w:lang w:eastAsia="es-ES"/>
        </w:rPr>
        <w:t xml:space="preserve">.  Correo electrónico               </w:t>
      </w:r>
      <w:r w:rsidR="00174C1F">
        <w:rPr>
          <w:color w:val="000000"/>
          <w:lang w:eastAsia="es-ES"/>
        </w:rPr>
        <w:t xml:space="preserve">   </w:t>
      </w:r>
      <w:bookmarkStart w:id="0" w:name="_GoBack"/>
      <w:bookmarkEnd w:id="0"/>
      <w:r w:rsidR="005204D9">
        <w:rPr>
          <w:color w:val="000000"/>
          <w:lang w:eastAsia="es-ES"/>
        </w:rPr>
        <w:t>:    maximon_1</w:t>
      </w:r>
      <w:r w:rsidR="005204D9">
        <w:rPr>
          <w:rFonts w:ascii="Arial" w:hAnsi="Arial" w:cs="Arial"/>
          <w:color w:val="000000"/>
          <w:lang w:eastAsia="es-ES"/>
        </w:rPr>
        <w:t>@</w:t>
      </w:r>
      <w:r w:rsidR="005204D9">
        <w:rPr>
          <w:color w:val="000000"/>
          <w:lang w:eastAsia="es-ES"/>
        </w:rPr>
        <w:t>hotmail.com</w:t>
      </w:r>
    </w:p>
    <w:p w:rsidR="005204D9" w:rsidRDefault="005204D9" w:rsidP="005204D9">
      <w:pPr>
        <w:shd w:val="clear" w:color="auto" w:fill="FFFFFF"/>
        <w:autoSpaceDE w:val="0"/>
        <w:autoSpaceDN w:val="0"/>
        <w:adjustRightInd w:val="0"/>
        <w:rPr>
          <w:color w:val="000000"/>
          <w:lang w:eastAsia="es-ES"/>
        </w:rPr>
      </w:pPr>
    </w:p>
    <w:p w:rsidR="005204D9" w:rsidRDefault="005204D9" w:rsidP="005204D9">
      <w:pPr>
        <w:shd w:val="clear" w:color="auto" w:fill="FFFFFF"/>
        <w:autoSpaceDE w:val="0"/>
        <w:autoSpaceDN w:val="0"/>
        <w:adjustRightInd w:val="0"/>
        <w:rPr>
          <w:color w:val="000000"/>
          <w:lang w:eastAsia="es-ES"/>
        </w:rPr>
      </w:pPr>
    </w:p>
    <w:p w:rsidR="005204D9" w:rsidRDefault="005204D9" w:rsidP="005204D9">
      <w:pPr>
        <w:jc w:val="both"/>
        <w:rPr>
          <w:noProof/>
          <w:lang w:val="es-ES" w:eastAsia="es-ES"/>
          <w14:shadow w14:blurRad="50800" w14:dist="38100" w14:dir="2700000" w14:sx="100000" w14:sy="100000" w14:kx="0" w14:ky="0" w14:algn="tl">
            <w14:srgbClr w14:val="000000">
              <w14:alpha w14:val="60000"/>
            </w14:srgbClr>
          </w14:shadow>
        </w:rPr>
      </w:pPr>
      <w:r>
        <w:rPr>
          <w:noProof/>
          <w:lang w:val="es-ES" w:eastAsia="es-ES"/>
          <w14:shadow w14:blurRad="50800" w14:dist="38100" w14:dir="2700000" w14:sx="100000" w14:sy="100000" w14:kx="0" w14:ky="0" w14:algn="tl">
            <w14:srgbClr w14:val="000000">
              <w14:alpha w14:val="60000"/>
            </w14:srgbClr>
          </w14:shadow>
        </w:rPr>
        <w:t>II.</w:t>
      </w:r>
      <w:r>
        <w:rPr>
          <w:b/>
          <w:noProof/>
          <w:lang w:val="es-ES" w:eastAsia="es-ES"/>
          <w14:shadow w14:blurRad="50800" w14:dist="38100" w14:dir="2700000" w14:sx="100000" w14:sy="100000" w14:kx="0" w14:ky="0" w14:algn="tl">
            <w14:srgbClr w14:val="000000">
              <w14:alpha w14:val="60000"/>
            </w14:srgbClr>
          </w14:shadow>
        </w:rPr>
        <w:t xml:space="preserve"> </w:t>
      </w:r>
      <w:r>
        <w:rPr>
          <w:rFonts w:eastAsiaTheme="minorHAnsi"/>
          <w:b/>
          <w:lang w:val="es-ES" w:eastAsia="en-US"/>
        </w:rPr>
        <w:t>SUMILLA</w:t>
      </w:r>
    </w:p>
    <w:p w:rsidR="005204D9" w:rsidRDefault="005204D9" w:rsidP="005204D9">
      <w:pPr>
        <w:ind w:left="284"/>
        <w:jc w:val="both"/>
      </w:pPr>
      <w:r>
        <w:rPr>
          <w:sz w:val="22"/>
          <w:szCs w:val="22"/>
          <w:lang w:val="es-ES"/>
        </w:rPr>
        <w:t>El curso tiene como propósito general, brindar los fundamentos doctrinarios y normativos que rigen las relaciones entre Estados y demás sujetos del derecho internacional público que actúan en la comunidad internacional. Analizar las fuentes del derecho internacional, los sujetos del derecho internacional público, el derecho de los tratados, las organizaciones internacionales, la era del conocimiento, las comunicaciones y la globalización.</w:t>
      </w:r>
    </w:p>
    <w:p w:rsidR="005204D9" w:rsidRDefault="005204D9" w:rsidP="005204D9">
      <w:pPr>
        <w:jc w:val="both"/>
      </w:pPr>
    </w:p>
    <w:p w:rsidR="005204D9" w:rsidRDefault="005204D9" w:rsidP="005204D9">
      <w:pPr>
        <w:pStyle w:val="Prrafodelista"/>
        <w:numPr>
          <w:ilvl w:val="0"/>
          <w:numId w:val="4"/>
        </w:numPr>
        <w:ind w:left="426" w:right="-6" w:hanging="426"/>
        <w:jc w:val="both"/>
        <w:rPr>
          <w:b/>
          <w:noProof/>
          <w:lang w:val="es-ES" w:eastAsia="es-ES"/>
        </w:rPr>
      </w:pPr>
      <w:r>
        <w:rPr>
          <w:b/>
          <w:noProof/>
          <w:lang w:val="es-ES" w:eastAsia="es-ES"/>
        </w:rPr>
        <w:t>COMPETENCIAS Y CAPACIDADES</w:t>
      </w:r>
    </w:p>
    <w:p w:rsidR="005204D9" w:rsidRDefault="005204D9" w:rsidP="005204D9">
      <w:pPr>
        <w:pStyle w:val="Prrafodelista"/>
        <w:ind w:left="1080" w:right="-6"/>
        <w:jc w:val="both"/>
        <w:rPr>
          <w:b/>
          <w:noProof/>
          <w:lang w:val="es-ES" w:eastAsia="es-ES"/>
        </w:rPr>
      </w:pPr>
    </w:p>
    <w:p w:rsidR="005204D9" w:rsidRDefault="005204D9" w:rsidP="005204D9">
      <w:pPr>
        <w:ind w:right="-6"/>
        <w:jc w:val="both"/>
        <w:rPr>
          <w:b/>
          <w:noProof/>
          <w:lang w:val="es-ES" w:eastAsia="es-ES"/>
        </w:rPr>
      </w:pPr>
      <w:r>
        <w:rPr>
          <w:b/>
          <w:noProof/>
          <w:lang w:val="es-ES" w:eastAsia="es-ES"/>
        </w:rPr>
        <w:t xml:space="preserve">           COMPETENCIAS</w:t>
      </w:r>
    </w:p>
    <w:p w:rsidR="005204D9" w:rsidRDefault="005204D9" w:rsidP="005204D9">
      <w:pPr>
        <w:jc w:val="both"/>
      </w:pPr>
    </w:p>
    <w:p w:rsidR="005204D9" w:rsidRDefault="005204D9" w:rsidP="005204D9">
      <w:pPr>
        <w:pStyle w:val="Prrafodelista"/>
        <w:numPr>
          <w:ilvl w:val="0"/>
          <w:numId w:val="5"/>
        </w:numPr>
        <w:jc w:val="both"/>
      </w:pPr>
      <w:r>
        <w:t>Analizar las instituciones del Derecho Internacional Público, con el propósito de explicar relaciones internacionales entre los Estados y los organismos internacionales, e impulsar la buena convivencia de los pueblos, y la ayuda recíproca para el desarrollo y bienestar social armónico.</w:t>
      </w:r>
    </w:p>
    <w:p w:rsidR="005204D9" w:rsidRDefault="005204D9" w:rsidP="005204D9">
      <w:pPr>
        <w:ind w:left="900"/>
        <w:jc w:val="both"/>
      </w:pPr>
    </w:p>
    <w:p w:rsidR="009B7D7D" w:rsidRDefault="009B7D7D" w:rsidP="005204D9">
      <w:pPr>
        <w:ind w:firstLine="708"/>
        <w:jc w:val="both"/>
        <w:rPr>
          <w:rFonts w:ascii="Arial" w:hAnsi="Arial" w:cs="Arial"/>
          <w:b/>
        </w:rPr>
      </w:pPr>
    </w:p>
    <w:p w:rsidR="009B7D7D" w:rsidRDefault="009B7D7D" w:rsidP="005204D9">
      <w:pPr>
        <w:ind w:firstLine="708"/>
        <w:jc w:val="both"/>
        <w:rPr>
          <w:rFonts w:ascii="Arial" w:hAnsi="Arial" w:cs="Arial"/>
          <w:b/>
        </w:rPr>
      </w:pPr>
    </w:p>
    <w:p w:rsidR="009B7D7D" w:rsidRDefault="009B7D7D" w:rsidP="005204D9">
      <w:pPr>
        <w:ind w:firstLine="708"/>
        <w:jc w:val="both"/>
        <w:rPr>
          <w:rFonts w:ascii="Arial" w:hAnsi="Arial" w:cs="Arial"/>
          <w:b/>
        </w:rPr>
      </w:pPr>
    </w:p>
    <w:p w:rsidR="005204D9" w:rsidRDefault="005204D9" w:rsidP="005204D9">
      <w:pPr>
        <w:ind w:firstLine="708"/>
        <w:jc w:val="both"/>
        <w:rPr>
          <w:rFonts w:ascii="Arial" w:hAnsi="Arial" w:cs="Arial"/>
        </w:rPr>
      </w:pPr>
      <w:r>
        <w:rPr>
          <w:rFonts w:ascii="Arial" w:hAnsi="Arial" w:cs="Arial"/>
          <w:b/>
        </w:rPr>
        <w:lastRenderedPageBreak/>
        <w:t>CAPACIDADES</w:t>
      </w:r>
    </w:p>
    <w:p w:rsidR="005204D9" w:rsidRDefault="005204D9" w:rsidP="005204D9">
      <w:pPr>
        <w:jc w:val="both"/>
        <w:rPr>
          <w:rFonts w:ascii="Arial" w:hAnsi="Arial" w:cs="Arial"/>
        </w:rPr>
      </w:pPr>
    </w:p>
    <w:p w:rsidR="005204D9" w:rsidRPr="0054547A" w:rsidRDefault="005204D9" w:rsidP="005204D9">
      <w:pPr>
        <w:numPr>
          <w:ilvl w:val="0"/>
          <w:numId w:val="6"/>
        </w:numPr>
        <w:ind w:left="1440"/>
        <w:jc w:val="both"/>
      </w:pPr>
      <w:r w:rsidRPr="0054547A">
        <w:t>Explicar las características del derecho internacional público, con el objeto de identificar su ubicación.</w:t>
      </w:r>
    </w:p>
    <w:p w:rsidR="005204D9" w:rsidRDefault="005204D9" w:rsidP="005204D9">
      <w:pPr>
        <w:numPr>
          <w:ilvl w:val="0"/>
          <w:numId w:val="6"/>
        </w:numPr>
        <w:tabs>
          <w:tab w:val="clear" w:pos="1080"/>
          <w:tab w:val="num" w:pos="1440"/>
        </w:tabs>
        <w:ind w:left="1440"/>
        <w:jc w:val="both"/>
      </w:pPr>
      <w:r w:rsidRPr="0054547A">
        <w:t>Interpreta las instituciones del derecho internacional público, con el propósito de aplicar a casos prácticos.</w:t>
      </w:r>
    </w:p>
    <w:p w:rsidR="009B7D7D" w:rsidRPr="0054547A" w:rsidRDefault="009B7D7D" w:rsidP="005204D9">
      <w:pPr>
        <w:numPr>
          <w:ilvl w:val="0"/>
          <w:numId w:val="6"/>
        </w:numPr>
        <w:tabs>
          <w:tab w:val="clear" w:pos="1080"/>
          <w:tab w:val="num" w:pos="1440"/>
        </w:tabs>
        <w:ind w:left="1440"/>
        <w:jc w:val="both"/>
      </w:pPr>
      <w:r>
        <w:t>Analiza el derecho internacional público según la jurisprudencia de los tribunales internacionales.</w:t>
      </w:r>
    </w:p>
    <w:p w:rsidR="005204D9" w:rsidRPr="0054547A" w:rsidRDefault="005204D9" w:rsidP="005204D9">
      <w:pPr>
        <w:numPr>
          <w:ilvl w:val="0"/>
          <w:numId w:val="6"/>
        </w:numPr>
        <w:tabs>
          <w:tab w:val="clear" w:pos="1080"/>
          <w:tab w:val="num" w:pos="1440"/>
        </w:tabs>
        <w:ind w:left="1440"/>
        <w:jc w:val="both"/>
      </w:pPr>
      <w:r w:rsidRPr="0054547A">
        <w:t>Redactar un artículo argumentativo a partir de la identificación del problema que se presenta en el derecho internacional público, siguiendo el protocolo establecido en la clase.</w:t>
      </w:r>
    </w:p>
    <w:p w:rsidR="005204D9" w:rsidRDefault="005204D9" w:rsidP="005204D9">
      <w:pPr>
        <w:jc w:val="both"/>
      </w:pPr>
    </w:p>
    <w:p w:rsidR="005204D9" w:rsidRDefault="005204D9" w:rsidP="005204D9">
      <w:pPr>
        <w:jc w:val="both"/>
      </w:pPr>
    </w:p>
    <w:p w:rsidR="005204D9" w:rsidRDefault="005204D9" w:rsidP="005204D9">
      <w:pPr>
        <w:jc w:val="both"/>
        <w:rPr>
          <w:b/>
        </w:rPr>
      </w:pPr>
      <w:r>
        <w:rPr>
          <w:b/>
        </w:rPr>
        <w:t>IV.-  PROGRAMACIÓN TEMÁTICA</w:t>
      </w:r>
    </w:p>
    <w:p w:rsidR="005204D9" w:rsidRDefault="005204D9" w:rsidP="005204D9">
      <w:pPr>
        <w:ind w:left="360"/>
        <w:jc w:val="both"/>
        <w:rPr>
          <w:b/>
        </w:rPr>
      </w:pPr>
    </w:p>
    <w:tbl>
      <w:tblPr>
        <w:tblStyle w:val="Tablaconcuadrcula"/>
        <w:tblW w:w="9285" w:type="dxa"/>
        <w:tblLayout w:type="fixed"/>
        <w:tblLook w:val="01E0" w:firstRow="1" w:lastRow="1" w:firstColumn="1" w:lastColumn="1" w:noHBand="0" w:noVBand="0"/>
      </w:tblPr>
      <w:tblGrid>
        <w:gridCol w:w="4606"/>
        <w:gridCol w:w="3059"/>
        <w:gridCol w:w="1620"/>
      </w:tblGrid>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9B7D7D">
            <w:pPr>
              <w:rPr>
                <w:b/>
              </w:rPr>
            </w:pPr>
            <w:r>
              <w:rPr>
                <w:b/>
              </w:rPr>
              <w:t xml:space="preserve">                    </w:t>
            </w:r>
            <w:r w:rsidR="005204D9">
              <w:rPr>
                <w:b/>
              </w:rPr>
              <w:t>UNIDAD DIDÁCTICA Nº 1:</w:t>
            </w:r>
          </w:p>
        </w:tc>
        <w:tc>
          <w:tcPr>
            <w:tcW w:w="4680" w:type="dxa"/>
            <w:gridSpan w:val="2"/>
            <w:tcBorders>
              <w:top w:val="single" w:sz="4" w:space="0" w:color="auto"/>
              <w:left w:val="single" w:sz="4" w:space="0" w:color="auto"/>
              <w:bottom w:val="single" w:sz="4" w:space="0" w:color="auto"/>
              <w:right w:val="single" w:sz="4" w:space="0" w:color="auto"/>
            </w:tcBorders>
          </w:tcPr>
          <w:p w:rsidR="005204D9" w:rsidRDefault="005204D9">
            <w:pPr>
              <w:rPr>
                <w:b/>
              </w:rPr>
            </w:pPr>
          </w:p>
        </w:tc>
      </w:tr>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CONTENIDOS</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ESTRATEGIAS</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DURACIÓN</w:t>
            </w:r>
          </w:p>
        </w:tc>
      </w:tr>
      <w:tr w:rsidR="005204D9" w:rsidTr="005204D9">
        <w:tc>
          <w:tcPr>
            <w:tcW w:w="4608" w:type="dxa"/>
            <w:tcBorders>
              <w:top w:val="single" w:sz="4" w:space="0" w:color="auto"/>
              <w:left w:val="single" w:sz="4" w:space="0" w:color="auto"/>
              <w:bottom w:val="single" w:sz="4" w:space="0" w:color="auto"/>
              <w:right w:val="single" w:sz="4" w:space="0" w:color="auto"/>
            </w:tcBorders>
          </w:tcPr>
          <w:p w:rsidR="005204D9" w:rsidRDefault="005204D9">
            <w:pPr>
              <w:jc w:val="both"/>
            </w:pPr>
          </w:p>
          <w:p w:rsidR="005204D9" w:rsidRDefault="005204D9">
            <w:pPr>
              <w:numPr>
                <w:ilvl w:val="0"/>
                <w:numId w:val="7"/>
              </w:numPr>
              <w:jc w:val="both"/>
            </w:pPr>
            <w:r>
              <w:t>La Comunidad Internacional.- Origen. Evolución. Definición. Naturaleza y fundamento del Derecho Internacional Público.</w:t>
            </w:r>
          </w:p>
          <w:p w:rsidR="005204D9" w:rsidRDefault="005204D9">
            <w:pPr>
              <w:numPr>
                <w:ilvl w:val="0"/>
                <w:numId w:val="7"/>
              </w:numPr>
              <w:jc w:val="both"/>
            </w:pPr>
            <w:r>
              <w:t>caracteres, alcances y realidades contemporáneas.</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Primera semana</w:t>
            </w:r>
          </w:p>
        </w:tc>
      </w:tr>
      <w:tr w:rsidR="005204D9" w:rsidTr="005204D9">
        <w:tc>
          <w:tcPr>
            <w:tcW w:w="4608" w:type="dxa"/>
            <w:tcBorders>
              <w:top w:val="single" w:sz="4" w:space="0" w:color="auto"/>
              <w:left w:val="single" w:sz="4" w:space="0" w:color="auto"/>
              <w:bottom w:val="single" w:sz="4" w:space="0" w:color="auto"/>
              <w:right w:val="single" w:sz="4" w:space="0" w:color="auto"/>
            </w:tcBorders>
          </w:tcPr>
          <w:p w:rsidR="005204D9" w:rsidRDefault="005204D9">
            <w:pPr>
              <w:jc w:val="both"/>
            </w:pPr>
          </w:p>
          <w:p w:rsidR="005204D9" w:rsidRDefault="005204D9">
            <w:pPr>
              <w:numPr>
                <w:ilvl w:val="0"/>
                <w:numId w:val="8"/>
              </w:numPr>
              <w:jc w:val="both"/>
            </w:pPr>
            <w:r>
              <w:t>Relaciones entre el Derecho Internacional Público y el Derecho Interno.</w:t>
            </w:r>
          </w:p>
          <w:p w:rsidR="005204D9" w:rsidRDefault="005204D9">
            <w:pPr>
              <w:numPr>
                <w:ilvl w:val="0"/>
                <w:numId w:val="8"/>
              </w:numPr>
              <w:jc w:val="both"/>
            </w:pPr>
            <w:r>
              <w:t>La teoría monista y dualismo.</w:t>
            </w:r>
          </w:p>
          <w:p w:rsidR="005204D9" w:rsidRDefault="005204D9">
            <w:pPr>
              <w:numPr>
                <w:ilvl w:val="0"/>
                <w:numId w:val="8"/>
              </w:numPr>
              <w:jc w:val="both"/>
            </w:pPr>
            <w:r>
              <w:t>Práctica Internacional</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Segunda semana</w:t>
            </w:r>
          </w:p>
        </w:tc>
      </w:tr>
    </w:tbl>
    <w:p w:rsidR="005204D9" w:rsidRDefault="005204D9" w:rsidP="005204D9">
      <w:pPr>
        <w:jc w:val="both"/>
      </w:pPr>
    </w:p>
    <w:tbl>
      <w:tblPr>
        <w:tblStyle w:val="Tablaconcuadrcula"/>
        <w:tblW w:w="9285" w:type="dxa"/>
        <w:tblLayout w:type="fixed"/>
        <w:tblLook w:val="01E0" w:firstRow="1" w:lastRow="1" w:firstColumn="1" w:lastColumn="1" w:noHBand="0" w:noVBand="0"/>
      </w:tblPr>
      <w:tblGrid>
        <w:gridCol w:w="4606"/>
        <w:gridCol w:w="3059"/>
        <w:gridCol w:w="1620"/>
      </w:tblGrid>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jc w:val="both"/>
              <w:rPr>
                <w:b/>
              </w:rPr>
            </w:pPr>
            <w:r>
              <w:rPr>
                <w:b/>
              </w:rPr>
              <w:t>Fuentes del derecho internacional publico</w:t>
            </w:r>
          </w:p>
        </w:tc>
        <w:tc>
          <w:tcPr>
            <w:tcW w:w="4680" w:type="dxa"/>
            <w:gridSpan w:val="2"/>
            <w:tcBorders>
              <w:top w:val="single" w:sz="4" w:space="0" w:color="auto"/>
              <w:left w:val="single" w:sz="4" w:space="0" w:color="auto"/>
              <w:bottom w:val="single" w:sz="4" w:space="0" w:color="auto"/>
              <w:right w:val="single" w:sz="4" w:space="0" w:color="auto"/>
            </w:tcBorders>
          </w:tcPr>
          <w:p w:rsidR="005204D9" w:rsidRDefault="005204D9">
            <w:pPr>
              <w:jc w:val="both"/>
              <w:rPr>
                <w:b/>
              </w:rPr>
            </w:pPr>
          </w:p>
        </w:tc>
      </w:tr>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CONTENIDOS</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ESTRATEGIAS</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DURACIÓN</w:t>
            </w:r>
          </w:p>
        </w:tc>
      </w:tr>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numPr>
                <w:ilvl w:val="0"/>
                <w:numId w:val="9"/>
              </w:numPr>
              <w:jc w:val="both"/>
            </w:pPr>
            <w:r>
              <w:t>Los tratados como fuente formal y principal del DIP, y la Convención de Viena     Sobre el Derecho de los Tratados.</w:t>
            </w:r>
          </w:p>
          <w:p w:rsidR="005204D9" w:rsidRDefault="005204D9">
            <w:pPr>
              <w:numPr>
                <w:ilvl w:val="0"/>
                <w:numId w:val="9"/>
              </w:numPr>
              <w:jc w:val="both"/>
            </w:pPr>
            <w:r>
              <w:t>Definición y clasificación de los Tratados.</w:t>
            </w:r>
          </w:p>
          <w:p w:rsidR="005204D9" w:rsidRDefault="005204D9">
            <w:pPr>
              <w:numPr>
                <w:ilvl w:val="0"/>
                <w:numId w:val="9"/>
              </w:numPr>
              <w:jc w:val="both"/>
            </w:pPr>
            <w:r>
              <w:t xml:space="preserve"> Celebración, aprobación y entrada en vigor de los Tratados.- Firma Canje de instrumentos.    Aceptación-Ratificación.- Adhesión. </w:t>
            </w:r>
          </w:p>
          <w:p w:rsidR="005204D9" w:rsidRDefault="005204D9">
            <w:pPr>
              <w:numPr>
                <w:ilvl w:val="0"/>
                <w:numId w:val="9"/>
              </w:numPr>
              <w:jc w:val="both"/>
            </w:pPr>
            <w:r>
              <w:t>Las Reservas.- Lecturas: Convención de Viena, arts. 19 al 23.</w:t>
            </w:r>
          </w:p>
          <w:p w:rsidR="005204D9" w:rsidRDefault="005204D9">
            <w:pPr>
              <w:numPr>
                <w:ilvl w:val="0"/>
                <w:numId w:val="9"/>
              </w:numPr>
              <w:jc w:val="both"/>
            </w:pPr>
            <w:r>
              <w:t xml:space="preserve"> Observancia, Aplicación e </w:t>
            </w:r>
            <w:r>
              <w:lastRenderedPageBreak/>
              <w:t xml:space="preserve">interpretación de Tratados. </w:t>
            </w:r>
          </w:p>
          <w:p w:rsidR="005204D9" w:rsidRDefault="005204D9">
            <w:pPr>
              <w:numPr>
                <w:ilvl w:val="0"/>
                <w:numId w:val="9"/>
              </w:numPr>
              <w:jc w:val="both"/>
            </w:pPr>
            <w:r>
              <w:t>Lecturas: Convención de Viena arts. 26 al</w:t>
            </w:r>
            <w:r>
              <w:rPr>
                <w:bCs/>
              </w:rPr>
              <w:t xml:space="preserve"> 33.</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lastRenderedPageBreak/>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Tercera semana</w:t>
            </w:r>
          </w:p>
        </w:tc>
      </w:tr>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numPr>
                <w:ilvl w:val="0"/>
                <w:numId w:val="10"/>
              </w:numPr>
              <w:jc w:val="both"/>
            </w:pPr>
            <w:r>
              <w:lastRenderedPageBreak/>
              <w:t xml:space="preserve">Nulidad, Terminación, Suspensión de la aplicación, Modificación, y revisión de los Tratados.- Cláusula </w:t>
            </w:r>
            <w:proofErr w:type="spellStart"/>
            <w:r>
              <w:t>Rebus</w:t>
            </w:r>
            <w:proofErr w:type="spellEnd"/>
            <w:r>
              <w:t xml:space="preserve"> sic </w:t>
            </w:r>
            <w:proofErr w:type="spellStart"/>
            <w:proofErr w:type="gramStart"/>
            <w:r>
              <w:t>stantibus</w:t>
            </w:r>
            <w:proofErr w:type="spellEnd"/>
            <w:r>
              <w:t xml:space="preserve"> .</w:t>
            </w:r>
            <w:proofErr w:type="gramEnd"/>
            <w:r>
              <w:t xml:space="preserve">- Principio </w:t>
            </w:r>
            <w:proofErr w:type="spellStart"/>
            <w:r>
              <w:t>Jus</w:t>
            </w:r>
            <w:proofErr w:type="spellEnd"/>
            <w:r>
              <w:t xml:space="preserve"> </w:t>
            </w:r>
            <w:proofErr w:type="spellStart"/>
            <w:r>
              <w:t>Cogens</w:t>
            </w:r>
            <w:proofErr w:type="spellEnd"/>
            <w:r>
              <w:t xml:space="preserve">. Depósito, Registro y Publicación de los tratados. </w:t>
            </w:r>
          </w:p>
          <w:p w:rsidR="005204D9" w:rsidRDefault="005204D9">
            <w:pPr>
              <w:numPr>
                <w:ilvl w:val="0"/>
                <w:numId w:val="10"/>
              </w:numPr>
              <w:jc w:val="both"/>
            </w:pPr>
            <w:r>
              <w:t>Lecturas: Convención de Viena, arts. 39 al 80.</w:t>
            </w:r>
          </w:p>
          <w:p w:rsidR="005204D9" w:rsidRDefault="005204D9">
            <w:pPr>
              <w:numPr>
                <w:ilvl w:val="0"/>
                <w:numId w:val="10"/>
              </w:numPr>
              <w:jc w:val="both"/>
            </w:pPr>
            <w:r>
              <w:t xml:space="preserve"> Revisión y discusión de los Tratados en la Constitución Peruana de 1979 Lecturas: Constitución de 1979 y 1993</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Cuarta semana</w:t>
            </w:r>
          </w:p>
        </w:tc>
      </w:tr>
    </w:tbl>
    <w:p w:rsidR="005204D9" w:rsidRDefault="005204D9" w:rsidP="005204D9">
      <w:pPr>
        <w:jc w:val="both"/>
      </w:pPr>
    </w:p>
    <w:p w:rsidR="005204D9" w:rsidRDefault="005204D9" w:rsidP="005204D9">
      <w:pPr>
        <w:jc w:val="both"/>
      </w:pPr>
    </w:p>
    <w:tbl>
      <w:tblPr>
        <w:tblStyle w:val="Tablaconcuadrcula"/>
        <w:tblW w:w="9285" w:type="dxa"/>
        <w:tblLayout w:type="fixed"/>
        <w:tblLook w:val="01E0" w:firstRow="1" w:lastRow="1" w:firstColumn="1" w:lastColumn="1" w:noHBand="0" w:noVBand="0"/>
      </w:tblPr>
      <w:tblGrid>
        <w:gridCol w:w="4606"/>
        <w:gridCol w:w="3059"/>
        <w:gridCol w:w="1620"/>
      </w:tblGrid>
      <w:tr w:rsidR="005204D9" w:rsidTr="00DD1C97">
        <w:tc>
          <w:tcPr>
            <w:tcW w:w="4606" w:type="dxa"/>
            <w:tcBorders>
              <w:top w:val="single" w:sz="4" w:space="0" w:color="auto"/>
              <w:left w:val="single" w:sz="4" w:space="0" w:color="auto"/>
              <w:bottom w:val="single" w:sz="4" w:space="0" w:color="auto"/>
              <w:right w:val="single" w:sz="4" w:space="0" w:color="auto"/>
            </w:tcBorders>
            <w:hideMark/>
          </w:tcPr>
          <w:p w:rsidR="005204D9" w:rsidRDefault="009B7D7D">
            <w:pPr>
              <w:rPr>
                <w:b/>
              </w:rPr>
            </w:pPr>
            <w:r>
              <w:rPr>
                <w:b/>
              </w:rPr>
              <w:t xml:space="preserve">                 </w:t>
            </w:r>
            <w:r w:rsidR="005204D9">
              <w:rPr>
                <w:b/>
              </w:rPr>
              <w:t>UNIDAD DIDÁCTICA Nº 2:</w:t>
            </w:r>
          </w:p>
        </w:tc>
        <w:tc>
          <w:tcPr>
            <w:tcW w:w="4679" w:type="dxa"/>
            <w:gridSpan w:val="2"/>
            <w:tcBorders>
              <w:top w:val="single" w:sz="4" w:space="0" w:color="auto"/>
              <w:left w:val="single" w:sz="4" w:space="0" w:color="auto"/>
              <w:bottom w:val="single" w:sz="4" w:space="0" w:color="auto"/>
              <w:right w:val="single" w:sz="4" w:space="0" w:color="auto"/>
            </w:tcBorders>
          </w:tcPr>
          <w:p w:rsidR="005204D9" w:rsidRDefault="005204D9">
            <w:pPr>
              <w:rPr>
                <w:b/>
              </w:rPr>
            </w:pPr>
          </w:p>
        </w:tc>
      </w:tr>
      <w:tr w:rsidR="005204D9" w:rsidTr="00DD1C97">
        <w:tc>
          <w:tcPr>
            <w:tcW w:w="4606"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CONTENIDOS</w:t>
            </w:r>
          </w:p>
        </w:tc>
        <w:tc>
          <w:tcPr>
            <w:tcW w:w="3059"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ESTRATEGIAS</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DURACIÓN</w:t>
            </w:r>
          </w:p>
        </w:tc>
      </w:tr>
      <w:tr w:rsidR="005204D9" w:rsidTr="00DD1C97">
        <w:tc>
          <w:tcPr>
            <w:tcW w:w="4606" w:type="dxa"/>
            <w:tcBorders>
              <w:top w:val="single" w:sz="4" w:space="0" w:color="auto"/>
              <w:left w:val="single" w:sz="4" w:space="0" w:color="auto"/>
              <w:bottom w:val="single" w:sz="4" w:space="0" w:color="auto"/>
              <w:right w:val="single" w:sz="4" w:space="0" w:color="auto"/>
            </w:tcBorders>
          </w:tcPr>
          <w:p w:rsidR="005204D9" w:rsidRDefault="005204D9">
            <w:pPr>
              <w:numPr>
                <w:ilvl w:val="0"/>
                <w:numId w:val="11"/>
              </w:numPr>
              <w:jc w:val="both"/>
            </w:pPr>
            <w:r>
              <w:t>La costumbre internacional.- Elementos constitutivos- prueba de la costumbre.- Costumbres Generales y Especiales.- Problemas recientes del Derecho Consuetudinario.</w:t>
            </w:r>
          </w:p>
          <w:p w:rsidR="005204D9" w:rsidRDefault="005204D9">
            <w:pPr>
              <w:numPr>
                <w:ilvl w:val="0"/>
                <w:numId w:val="11"/>
              </w:numPr>
              <w:jc w:val="both"/>
            </w:pPr>
            <w:r>
              <w:t xml:space="preserve"> La Costumbre Internacional en tres casos judiciales,- a) Caso de los Barcos  Pesqueros Paquete Habana y Lola. b) Caso "Lotus", c) Caso de la Plataforma Continental del Mar del Norte.</w:t>
            </w:r>
          </w:p>
          <w:p w:rsidR="005204D9" w:rsidRDefault="005204D9">
            <w:pPr>
              <w:jc w:val="both"/>
            </w:pPr>
          </w:p>
        </w:tc>
        <w:tc>
          <w:tcPr>
            <w:tcW w:w="3059"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Quinta semana</w:t>
            </w:r>
          </w:p>
        </w:tc>
      </w:tr>
      <w:tr w:rsidR="005204D9" w:rsidTr="00DD1C97">
        <w:tc>
          <w:tcPr>
            <w:tcW w:w="4606" w:type="dxa"/>
            <w:tcBorders>
              <w:top w:val="single" w:sz="4" w:space="0" w:color="auto"/>
              <w:left w:val="single" w:sz="4" w:space="0" w:color="auto"/>
              <w:bottom w:val="single" w:sz="4" w:space="0" w:color="auto"/>
              <w:right w:val="single" w:sz="4" w:space="0" w:color="auto"/>
            </w:tcBorders>
            <w:hideMark/>
          </w:tcPr>
          <w:p w:rsidR="005204D9" w:rsidRDefault="005204D9">
            <w:pPr>
              <w:numPr>
                <w:ilvl w:val="0"/>
                <w:numId w:val="11"/>
              </w:numPr>
              <w:jc w:val="both"/>
            </w:pPr>
            <w:r>
              <w:t>Los principios Generales del Derecho.</w:t>
            </w:r>
          </w:p>
          <w:p w:rsidR="005204D9" w:rsidRDefault="005204D9">
            <w:pPr>
              <w:numPr>
                <w:ilvl w:val="0"/>
                <w:numId w:val="11"/>
              </w:numPr>
              <w:jc w:val="both"/>
            </w:pPr>
            <w:r>
              <w:t>Las Decisiones Judiciales.</w:t>
            </w:r>
          </w:p>
          <w:p w:rsidR="005204D9" w:rsidRDefault="005204D9">
            <w:pPr>
              <w:numPr>
                <w:ilvl w:val="0"/>
                <w:numId w:val="11"/>
              </w:numPr>
              <w:jc w:val="both"/>
            </w:pPr>
            <w:r>
              <w:t xml:space="preserve"> la Doctrina internacional.</w:t>
            </w:r>
          </w:p>
          <w:p w:rsidR="005204D9" w:rsidRDefault="005204D9">
            <w:pPr>
              <w:numPr>
                <w:ilvl w:val="0"/>
                <w:numId w:val="11"/>
              </w:numPr>
              <w:jc w:val="both"/>
            </w:pPr>
            <w:r>
              <w:t>Los actos unilaterales de los Estados.</w:t>
            </w:r>
          </w:p>
          <w:p w:rsidR="005204D9" w:rsidRDefault="005204D9">
            <w:pPr>
              <w:numPr>
                <w:ilvl w:val="0"/>
                <w:numId w:val="11"/>
              </w:numPr>
              <w:jc w:val="both"/>
            </w:pPr>
            <w:r>
              <w:t xml:space="preserve"> Actos de las Organizaciones Internacionales.</w:t>
            </w:r>
          </w:p>
        </w:tc>
        <w:tc>
          <w:tcPr>
            <w:tcW w:w="3059"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Sexta semana</w:t>
            </w:r>
          </w:p>
        </w:tc>
      </w:tr>
      <w:tr w:rsidR="005204D9" w:rsidTr="00DD1C97">
        <w:tc>
          <w:tcPr>
            <w:tcW w:w="4606" w:type="dxa"/>
            <w:tcBorders>
              <w:top w:val="single" w:sz="4" w:space="0" w:color="auto"/>
              <w:left w:val="single" w:sz="4" w:space="0" w:color="auto"/>
              <w:bottom w:val="single" w:sz="4" w:space="0" w:color="auto"/>
              <w:right w:val="single" w:sz="4" w:space="0" w:color="auto"/>
            </w:tcBorders>
          </w:tcPr>
          <w:p w:rsidR="005204D9" w:rsidRDefault="005204D9">
            <w:pPr>
              <w:numPr>
                <w:ilvl w:val="0"/>
                <w:numId w:val="12"/>
              </w:numPr>
              <w:jc w:val="both"/>
            </w:pPr>
            <w:r>
              <w:t>La personalidad Jurídica Internacional.</w:t>
            </w:r>
          </w:p>
          <w:p w:rsidR="005204D9" w:rsidRDefault="005204D9">
            <w:pPr>
              <w:numPr>
                <w:ilvl w:val="0"/>
                <w:numId w:val="12"/>
              </w:numPr>
              <w:jc w:val="both"/>
            </w:pPr>
            <w:r>
              <w:t>Concepto de sujeto de Derecho Internacional: los Estados. Las Organizaciones Internacionales. El individuo. Los grupos beligerantes.</w:t>
            </w:r>
          </w:p>
          <w:p w:rsidR="005204D9" w:rsidRDefault="005204D9">
            <w:pPr>
              <w:jc w:val="both"/>
            </w:pPr>
          </w:p>
        </w:tc>
        <w:tc>
          <w:tcPr>
            <w:tcW w:w="3059"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Séptima semana</w:t>
            </w:r>
          </w:p>
        </w:tc>
      </w:tr>
      <w:tr w:rsidR="00DD1C97" w:rsidTr="00781293">
        <w:tc>
          <w:tcPr>
            <w:tcW w:w="7665" w:type="dxa"/>
            <w:gridSpan w:val="2"/>
            <w:tcBorders>
              <w:top w:val="single" w:sz="4" w:space="0" w:color="auto"/>
              <w:left w:val="single" w:sz="4" w:space="0" w:color="auto"/>
              <w:bottom w:val="single" w:sz="4" w:space="0" w:color="auto"/>
              <w:right w:val="single" w:sz="4" w:space="0" w:color="auto"/>
            </w:tcBorders>
            <w:hideMark/>
          </w:tcPr>
          <w:p w:rsidR="00DD1C97" w:rsidRDefault="00DD1C97">
            <w:pPr>
              <w:jc w:val="both"/>
            </w:pPr>
            <w:r>
              <w:rPr>
                <w:b/>
              </w:rPr>
              <w:t>EXAMEN PARCIAL</w:t>
            </w:r>
          </w:p>
        </w:tc>
        <w:tc>
          <w:tcPr>
            <w:tcW w:w="1620" w:type="dxa"/>
            <w:tcBorders>
              <w:top w:val="single" w:sz="4" w:space="0" w:color="auto"/>
              <w:left w:val="single" w:sz="4" w:space="0" w:color="auto"/>
              <w:bottom w:val="single" w:sz="4" w:space="0" w:color="auto"/>
              <w:right w:val="single" w:sz="4" w:space="0" w:color="auto"/>
            </w:tcBorders>
            <w:hideMark/>
          </w:tcPr>
          <w:p w:rsidR="00DD1C97" w:rsidRDefault="00DD1C97">
            <w:pPr>
              <w:jc w:val="both"/>
            </w:pPr>
            <w:r>
              <w:t xml:space="preserve">Octava </w:t>
            </w:r>
            <w:r>
              <w:lastRenderedPageBreak/>
              <w:t>semana</w:t>
            </w:r>
          </w:p>
        </w:tc>
      </w:tr>
      <w:tr w:rsidR="005204D9" w:rsidTr="00DD1C97">
        <w:tc>
          <w:tcPr>
            <w:tcW w:w="4606" w:type="dxa"/>
            <w:tcBorders>
              <w:top w:val="single" w:sz="4" w:space="0" w:color="auto"/>
              <w:left w:val="single" w:sz="4" w:space="0" w:color="auto"/>
              <w:bottom w:val="single" w:sz="4" w:space="0" w:color="auto"/>
              <w:right w:val="single" w:sz="4" w:space="0" w:color="auto"/>
            </w:tcBorders>
          </w:tcPr>
          <w:p w:rsidR="005204D9" w:rsidRDefault="005204D9">
            <w:pPr>
              <w:jc w:val="both"/>
            </w:pPr>
            <w:r>
              <w:lastRenderedPageBreak/>
              <w:t>Dominio Marítimo de los Estados.</w:t>
            </w:r>
          </w:p>
          <w:p w:rsidR="005204D9" w:rsidRDefault="005204D9">
            <w:pPr>
              <w:numPr>
                <w:ilvl w:val="0"/>
                <w:numId w:val="13"/>
              </w:numPr>
              <w:jc w:val="both"/>
            </w:pPr>
            <w:r>
              <w:t>El antiguo y el nuevo Derecho del Mar. La Nueva Convención sobre el Derecho del Mar. Características generales. Mar Territorial. Zona Contigua. Plataforma Continental. Zona Económica Exclusiva. Alta Mar. Fondos Marinos.</w:t>
            </w:r>
          </w:p>
          <w:p w:rsidR="005204D9" w:rsidRDefault="005204D9">
            <w:pPr>
              <w:numPr>
                <w:ilvl w:val="0"/>
                <w:numId w:val="13"/>
              </w:numPr>
              <w:jc w:val="both"/>
            </w:pPr>
            <w:r>
              <w:t xml:space="preserve"> Leer: Convención sobre el Derecho del Mar.</w:t>
            </w:r>
          </w:p>
          <w:p w:rsidR="005204D9" w:rsidRDefault="005204D9">
            <w:pPr>
              <w:spacing w:before="120"/>
              <w:ind w:left="320" w:firstLine="220"/>
              <w:jc w:val="both"/>
            </w:pPr>
          </w:p>
        </w:tc>
        <w:tc>
          <w:tcPr>
            <w:tcW w:w="3059"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Novena semana</w:t>
            </w:r>
          </w:p>
        </w:tc>
      </w:tr>
      <w:tr w:rsidR="005204D9" w:rsidTr="00DD1C97">
        <w:tc>
          <w:tcPr>
            <w:tcW w:w="4606" w:type="dxa"/>
            <w:tcBorders>
              <w:top w:val="single" w:sz="4" w:space="0" w:color="auto"/>
              <w:left w:val="single" w:sz="4" w:space="0" w:color="auto"/>
              <w:bottom w:val="single" w:sz="4" w:space="0" w:color="auto"/>
              <w:right w:val="single" w:sz="4" w:space="0" w:color="auto"/>
            </w:tcBorders>
            <w:hideMark/>
          </w:tcPr>
          <w:p w:rsidR="005204D9" w:rsidRDefault="005204D9">
            <w:pPr>
              <w:numPr>
                <w:ilvl w:val="0"/>
                <w:numId w:val="14"/>
              </w:numPr>
              <w:jc w:val="both"/>
            </w:pPr>
            <w:r>
              <w:t>Declaración del Perú de 1947. Declaración de Santiago de 1952. Dominio Marítimo del Perú en la Constitución de 1979. Constitución de 1993. Su naturaleza jurídica.</w:t>
            </w:r>
          </w:p>
        </w:tc>
        <w:tc>
          <w:tcPr>
            <w:tcW w:w="3059"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 xml:space="preserve">Décima semana y </w:t>
            </w:r>
          </w:p>
        </w:tc>
      </w:tr>
    </w:tbl>
    <w:p w:rsidR="005204D9" w:rsidRDefault="005204D9" w:rsidP="005204D9">
      <w:pPr>
        <w:jc w:val="both"/>
      </w:pPr>
    </w:p>
    <w:tbl>
      <w:tblPr>
        <w:tblStyle w:val="Tablaconcuadrcula"/>
        <w:tblW w:w="9285" w:type="dxa"/>
        <w:tblLayout w:type="fixed"/>
        <w:tblLook w:val="01E0" w:firstRow="1" w:lastRow="1" w:firstColumn="1" w:lastColumn="1" w:noHBand="0" w:noVBand="0"/>
      </w:tblPr>
      <w:tblGrid>
        <w:gridCol w:w="4606"/>
        <w:gridCol w:w="3059"/>
        <w:gridCol w:w="1620"/>
      </w:tblGrid>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9B7D7D">
            <w:pPr>
              <w:jc w:val="both"/>
              <w:rPr>
                <w:b/>
              </w:rPr>
            </w:pPr>
            <w:r>
              <w:rPr>
                <w:b/>
              </w:rPr>
              <w:t xml:space="preserve">                     </w:t>
            </w:r>
            <w:r w:rsidR="005204D9">
              <w:rPr>
                <w:b/>
              </w:rPr>
              <w:t>UNIDAD DIDÁCTICA Nº 3:</w:t>
            </w:r>
          </w:p>
        </w:tc>
        <w:tc>
          <w:tcPr>
            <w:tcW w:w="4680" w:type="dxa"/>
            <w:gridSpan w:val="2"/>
            <w:tcBorders>
              <w:top w:val="single" w:sz="4" w:space="0" w:color="auto"/>
              <w:left w:val="single" w:sz="4" w:space="0" w:color="auto"/>
              <w:bottom w:val="single" w:sz="4" w:space="0" w:color="auto"/>
              <w:right w:val="single" w:sz="4" w:space="0" w:color="auto"/>
            </w:tcBorders>
          </w:tcPr>
          <w:p w:rsidR="005204D9" w:rsidRDefault="005204D9">
            <w:pPr>
              <w:jc w:val="both"/>
              <w:rPr>
                <w:b/>
              </w:rPr>
            </w:pPr>
          </w:p>
        </w:tc>
      </w:tr>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CONTENIDOS</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ESTRATEGIAS</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DURACIÓN</w:t>
            </w:r>
          </w:p>
        </w:tc>
      </w:tr>
      <w:tr w:rsidR="005204D9" w:rsidTr="005204D9">
        <w:trPr>
          <w:trHeight w:val="1530"/>
        </w:trPr>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jc w:val="both"/>
              <w:rPr>
                <w:bCs/>
              </w:rPr>
            </w:pPr>
            <w:r>
              <w:rPr>
                <w:bCs/>
              </w:rPr>
              <w:t>Organizaciones Internacionales.</w:t>
            </w:r>
          </w:p>
          <w:p w:rsidR="005204D9" w:rsidRDefault="005204D9">
            <w:pPr>
              <w:numPr>
                <w:ilvl w:val="0"/>
                <w:numId w:val="14"/>
              </w:numPr>
              <w:jc w:val="both"/>
            </w:pPr>
            <w:r>
              <w:t>Las Organizaciones Internacionales como sujetos del Derecho Internacional   Público. Clases, miembros y Órganos. Funciones y Poderes.</w:t>
            </w:r>
          </w:p>
          <w:p w:rsidR="005204D9" w:rsidRDefault="005204D9">
            <w:pPr>
              <w:numPr>
                <w:ilvl w:val="0"/>
                <w:numId w:val="14"/>
              </w:numPr>
              <w:jc w:val="both"/>
            </w:pPr>
            <w:r>
              <w:t>La Organización de las Naciones Unidas. Antecedentes. Propósitos y principios. Órganos. Miembros. La Corte Internacional de Justicia. El Sistema</w:t>
            </w:r>
            <w:r>
              <w:rPr>
                <w:bCs/>
              </w:rPr>
              <w:t xml:space="preserve"> de Naciones Unidas. Lecturas; Carta de</w:t>
            </w:r>
            <w:r>
              <w:t xml:space="preserve"> las Naciones Unidas.- El Estatuto de la Corte Internacional de Justicia.</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décima primera semana Décima segunda semana</w:t>
            </w:r>
          </w:p>
        </w:tc>
      </w:tr>
    </w:tbl>
    <w:p w:rsidR="005204D9" w:rsidRDefault="005204D9" w:rsidP="005204D9">
      <w:pPr>
        <w:jc w:val="both"/>
      </w:pPr>
      <w:r>
        <w:t xml:space="preserve"> </w:t>
      </w:r>
    </w:p>
    <w:tbl>
      <w:tblPr>
        <w:tblStyle w:val="Tablaconcuadrcula"/>
        <w:tblW w:w="9285" w:type="dxa"/>
        <w:tblLayout w:type="fixed"/>
        <w:tblLook w:val="01E0" w:firstRow="1" w:lastRow="1" w:firstColumn="1" w:lastColumn="1" w:noHBand="0" w:noVBand="0"/>
      </w:tblPr>
      <w:tblGrid>
        <w:gridCol w:w="4606"/>
        <w:gridCol w:w="3059"/>
        <w:gridCol w:w="1620"/>
      </w:tblGrid>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jc w:val="both"/>
              <w:rPr>
                <w:b/>
              </w:rPr>
            </w:pPr>
            <w:r>
              <w:rPr>
                <w:b/>
              </w:rPr>
              <w:t xml:space="preserve">                                               </w:t>
            </w:r>
          </w:p>
        </w:tc>
        <w:tc>
          <w:tcPr>
            <w:tcW w:w="4680" w:type="dxa"/>
            <w:gridSpan w:val="2"/>
            <w:tcBorders>
              <w:top w:val="single" w:sz="4" w:space="0" w:color="auto"/>
              <w:left w:val="single" w:sz="4" w:space="0" w:color="auto"/>
              <w:bottom w:val="single" w:sz="4" w:space="0" w:color="auto"/>
              <w:right w:val="single" w:sz="4" w:space="0" w:color="auto"/>
            </w:tcBorders>
          </w:tcPr>
          <w:p w:rsidR="005204D9" w:rsidRDefault="005204D9">
            <w:pPr>
              <w:jc w:val="both"/>
              <w:rPr>
                <w:b/>
              </w:rPr>
            </w:pPr>
          </w:p>
        </w:tc>
      </w:tr>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CONTENIDOS</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ESTRATEGIAS</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DURACIÓN</w:t>
            </w:r>
          </w:p>
        </w:tc>
      </w:tr>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numPr>
                <w:ilvl w:val="0"/>
                <w:numId w:val="15"/>
              </w:numPr>
              <w:jc w:val="both"/>
            </w:pPr>
            <w:r>
              <w:t xml:space="preserve">La Organización de Estados Americanos. El Sistema ínter Americano. El Comité Jurídico Inter Americano. Solución de controversias en el ámbito americano. El caso del Canal del Beagle. </w:t>
            </w:r>
          </w:p>
          <w:p w:rsidR="005204D9" w:rsidRDefault="005204D9">
            <w:pPr>
              <w:numPr>
                <w:ilvl w:val="0"/>
                <w:numId w:val="15"/>
              </w:numPr>
              <w:jc w:val="both"/>
            </w:pPr>
            <w:r>
              <w:t xml:space="preserve">Lecturas: Carta de la OEA y Protocolo de Bs. As.- Pacto de </w:t>
            </w:r>
            <w:r>
              <w:lastRenderedPageBreak/>
              <w:t>Bogotá.</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lastRenderedPageBreak/>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Décima Tercera semana</w:t>
            </w:r>
          </w:p>
        </w:tc>
      </w:tr>
      <w:tr w:rsidR="005204D9" w:rsidTr="005204D9">
        <w:tc>
          <w:tcPr>
            <w:tcW w:w="4608"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lastRenderedPageBreak/>
              <w:t>Individuo como sujeto del derecho internacional.</w:t>
            </w:r>
          </w:p>
          <w:p w:rsidR="005204D9" w:rsidRDefault="005204D9">
            <w:pPr>
              <w:numPr>
                <w:ilvl w:val="0"/>
                <w:numId w:val="16"/>
              </w:numPr>
              <w:jc w:val="both"/>
            </w:pPr>
            <w:r>
              <w:t xml:space="preserve">Ideas. Generales del Individuo como sujeto del DIP. Los derechos humanos y protección internacional. </w:t>
            </w:r>
          </w:p>
          <w:p w:rsidR="005204D9" w:rsidRDefault="005204D9">
            <w:pPr>
              <w:numPr>
                <w:ilvl w:val="0"/>
                <w:numId w:val="16"/>
              </w:numPr>
              <w:jc w:val="both"/>
            </w:pPr>
            <w:r>
              <w:t xml:space="preserve"> El Asilo.- Conceptos generales. Asilo Territorial. Y Asilo Diplomático. El caso de Haya de la Torre y el Caso de los cubanos en la Embajada del Perú en la Habana.</w:t>
            </w:r>
          </w:p>
          <w:p w:rsidR="005204D9" w:rsidRDefault="005204D9">
            <w:pPr>
              <w:numPr>
                <w:ilvl w:val="0"/>
                <w:numId w:val="17"/>
              </w:numPr>
              <w:ind w:left="714" w:hanging="357"/>
              <w:jc w:val="both"/>
            </w:pPr>
            <w:r>
              <w:t xml:space="preserve"> Lectura: Declaración Universal de los Derechos del Hombre, Pacto Internacional de Derechos Civiles y Políticos. </w:t>
            </w:r>
          </w:p>
          <w:p w:rsidR="005204D9" w:rsidRDefault="005204D9">
            <w:pPr>
              <w:numPr>
                <w:ilvl w:val="0"/>
                <w:numId w:val="17"/>
              </w:numPr>
              <w:ind w:left="714" w:hanging="357"/>
              <w:jc w:val="both"/>
            </w:pPr>
            <w:r>
              <w:t>La extradición. Noción, legislación y práctica peruana.</w:t>
            </w:r>
          </w:p>
        </w:tc>
        <w:tc>
          <w:tcPr>
            <w:tcW w:w="306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Décima Cuarta semana</w:t>
            </w:r>
          </w:p>
        </w:tc>
      </w:tr>
    </w:tbl>
    <w:p w:rsidR="005204D9" w:rsidRDefault="005204D9" w:rsidP="005204D9">
      <w:pPr>
        <w:jc w:val="both"/>
      </w:pPr>
    </w:p>
    <w:tbl>
      <w:tblPr>
        <w:tblStyle w:val="Tablaconcuadrcula"/>
        <w:tblW w:w="9285" w:type="dxa"/>
        <w:tblLayout w:type="fixed"/>
        <w:tblLook w:val="01E0" w:firstRow="1" w:lastRow="1" w:firstColumn="1" w:lastColumn="1" w:noHBand="0" w:noVBand="0"/>
      </w:tblPr>
      <w:tblGrid>
        <w:gridCol w:w="4606"/>
        <w:gridCol w:w="3059"/>
        <w:gridCol w:w="1620"/>
      </w:tblGrid>
      <w:tr w:rsidR="005204D9" w:rsidTr="00DD1C97">
        <w:tc>
          <w:tcPr>
            <w:tcW w:w="4606" w:type="dxa"/>
            <w:tcBorders>
              <w:top w:val="single" w:sz="4" w:space="0" w:color="auto"/>
              <w:left w:val="single" w:sz="4" w:space="0" w:color="auto"/>
              <w:bottom w:val="single" w:sz="4" w:space="0" w:color="auto"/>
              <w:right w:val="single" w:sz="4" w:space="0" w:color="auto"/>
            </w:tcBorders>
            <w:hideMark/>
          </w:tcPr>
          <w:p w:rsidR="005204D9" w:rsidRDefault="009B7D7D">
            <w:pPr>
              <w:jc w:val="both"/>
              <w:rPr>
                <w:b/>
              </w:rPr>
            </w:pPr>
            <w:r>
              <w:rPr>
                <w:b/>
              </w:rPr>
              <w:t xml:space="preserve">                     </w:t>
            </w:r>
            <w:r w:rsidR="005204D9">
              <w:rPr>
                <w:b/>
              </w:rPr>
              <w:t>UNIDAD DIDÁCTICA Nº 4:</w:t>
            </w:r>
          </w:p>
        </w:tc>
        <w:tc>
          <w:tcPr>
            <w:tcW w:w="4679" w:type="dxa"/>
            <w:gridSpan w:val="2"/>
            <w:tcBorders>
              <w:top w:val="single" w:sz="4" w:space="0" w:color="auto"/>
              <w:left w:val="single" w:sz="4" w:space="0" w:color="auto"/>
              <w:bottom w:val="single" w:sz="4" w:space="0" w:color="auto"/>
              <w:right w:val="single" w:sz="4" w:space="0" w:color="auto"/>
            </w:tcBorders>
          </w:tcPr>
          <w:p w:rsidR="005204D9" w:rsidRDefault="005204D9">
            <w:pPr>
              <w:jc w:val="both"/>
              <w:rPr>
                <w:b/>
              </w:rPr>
            </w:pPr>
          </w:p>
        </w:tc>
      </w:tr>
      <w:tr w:rsidR="005204D9" w:rsidTr="00DD1C97">
        <w:tc>
          <w:tcPr>
            <w:tcW w:w="4606"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CONTENIDOS</w:t>
            </w:r>
          </w:p>
        </w:tc>
        <w:tc>
          <w:tcPr>
            <w:tcW w:w="3059"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ESTRATEGIAS</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center"/>
              <w:rPr>
                <w:b/>
              </w:rPr>
            </w:pPr>
            <w:r>
              <w:rPr>
                <w:b/>
              </w:rPr>
              <w:t>DURACIÓN</w:t>
            </w:r>
          </w:p>
        </w:tc>
      </w:tr>
      <w:tr w:rsidR="005204D9" w:rsidTr="00DD1C97">
        <w:tc>
          <w:tcPr>
            <w:tcW w:w="4606" w:type="dxa"/>
            <w:tcBorders>
              <w:top w:val="single" w:sz="4" w:space="0" w:color="auto"/>
              <w:left w:val="single" w:sz="4" w:space="0" w:color="auto"/>
              <w:bottom w:val="single" w:sz="4" w:space="0" w:color="auto"/>
              <w:right w:val="single" w:sz="4" w:space="0" w:color="auto"/>
            </w:tcBorders>
            <w:hideMark/>
          </w:tcPr>
          <w:p w:rsidR="005204D9" w:rsidRDefault="005204D9">
            <w:pPr>
              <w:numPr>
                <w:ilvl w:val="0"/>
                <w:numId w:val="17"/>
              </w:numPr>
              <w:ind w:left="714" w:hanging="357"/>
              <w:jc w:val="both"/>
            </w:pPr>
            <w:r>
              <w:t>Los derechos humanos en los tratados internacionales de derechos humanos.</w:t>
            </w:r>
          </w:p>
          <w:p w:rsidR="005204D9" w:rsidRDefault="005204D9">
            <w:pPr>
              <w:numPr>
                <w:ilvl w:val="0"/>
                <w:numId w:val="17"/>
              </w:numPr>
              <w:ind w:left="714" w:hanging="357"/>
              <w:jc w:val="both"/>
            </w:pPr>
            <w:r>
              <w:t>Mecanismos internacionales de protección de los derechos humanos.</w:t>
            </w:r>
          </w:p>
          <w:p w:rsidR="005204D9" w:rsidRDefault="005204D9">
            <w:pPr>
              <w:numPr>
                <w:ilvl w:val="0"/>
                <w:numId w:val="17"/>
              </w:numPr>
              <w:ind w:left="714" w:hanging="357"/>
              <w:jc w:val="both"/>
            </w:pPr>
            <w:r>
              <w:t>La jurisprudencia internacional en materia de derechos humanos.</w:t>
            </w:r>
          </w:p>
          <w:p w:rsidR="005204D9" w:rsidRDefault="005204D9">
            <w:pPr>
              <w:numPr>
                <w:ilvl w:val="0"/>
                <w:numId w:val="17"/>
              </w:numPr>
              <w:ind w:left="714" w:hanging="357"/>
              <w:jc w:val="both"/>
            </w:pPr>
            <w:r>
              <w:t>El litigio peruano-chileno sobre el triángulo marítimo.</w:t>
            </w:r>
          </w:p>
        </w:tc>
        <w:tc>
          <w:tcPr>
            <w:tcW w:w="3059"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Seminario – Taller, Análisis de lecturas y discusión</w:t>
            </w:r>
          </w:p>
        </w:tc>
        <w:tc>
          <w:tcPr>
            <w:tcW w:w="1620" w:type="dxa"/>
            <w:tcBorders>
              <w:top w:val="single" w:sz="4" w:space="0" w:color="auto"/>
              <w:left w:val="single" w:sz="4" w:space="0" w:color="auto"/>
              <w:bottom w:val="single" w:sz="4" w:space="0" w:color="auto"/>
              <w:right w:val="single" w:sz="4" w:space="0" w:color="auto"/>
            </w:tcBorders>
            <w:hideMark/>
          </w:tcPr>
          <w:p w:rsidR="005204D9" w:rsidRDefault="005204D9">
            <w:pPr>
              <w:jc w:val="both"/>
            </w:pPr>
            <w:r>
              <w:t>Décima Quinta semana</w:t>
            </w:r>
          </w:p>
        </w:tc>
      </w:tr>
      <w:tr w:rsidR="00DD1C97" w:rsidTr="008537E9">
        <w:tc>
          <w:tcPr>
            <w:tcW w:w="7665" w:type="dxa"/>
            <w:gridSpan w:val="2"/>
            <w:tcBorders>
              <w:top w:val="single" w:sz="4" w:space="0" w:color="auto"/>
              <w:left w:val="single" w:sz="4" w:space="0" w:color="auto"/>
              <w:bottom w:val="single" w:sz="4" w:space="0" w:color="auto"/>
              <w:right w:val="single" w:sz="4" w:space="0" w:color="auto"/>
            </w:tcBorders>
            <w:hideMark/>
          </w:tcPr>
          <w:p w:rsidR="00DD1C97" w:rsidRDefault="00DD1C97">
            <w:pPr>
              <w:jc w:val="both"/>
              <w:rPr>
                <w:b/>
              </w:rPr>
            </w:pPr>
          </w:p>
          <w:p w:rsidR="00DD1C97" w:rsidRDefault="00DD1C97">
            <w:pPr>
              <w:jc w:val="both"/>
            </w:pPr>
            <w:r>
              <w:rPr>
                <w:b/>
              </w:rPr>
              <w:t>EXAMEN FINAL</w:t>
            </w:r>
          </w:p>
        </w:tc>
        <w:tc>
          <w:tcPr>
            <w:tcW w:w="1620" w:type="dxa"/>
            <w:tcBorders>
              <w:top w:val="single" w:sz="4" w:space="0" w:color="auto"/>
              <w:left w:val="single" w:sz="4" w:space="0" w:color="auto"/>
              <w:bottom w:val="single" w:sz="4" w:space="0" w:color="auto"/>
              <w:right w:val="single" w:sz="4" w:space="0" w:color="auto"/>
            </w:tcBorders>
            <w:hideMark/>
          </w:tcPr>
          <w:p w:rsidR="00DD1C97" w:rsidRDefault="00DD1C97">
            <w:pPr>
              <w:jc w:val="both"/>
            </w:pPr>
            <w:r>
              <w:t>Décima Sexta semana</w:t>
            </w:r>
          </w:p>
        </w:tc>
      </w:tr>
    </w:tbl>
    <w:p w:rsidR="005204D9" w:rsidRDefault="005204D9" w:rsidP="005204D9">
      <w:pPr>
        <w:jc w:val="both"/>
        <w:rPr>
          <w:b/>
        </w:rPr>
      </w:pPr>
    </w:p>
    <w:p w:rsidR="005204D9" w:rsidRDefault="005204D9" w:rsidP="005204D9">
      <w:pPr>
        <w:pStyle w:val="Prrafodelista"/>
        <w:numPr>
          <w:ilvl w:val="0"/>
          <w:numId w:val="19"/>
        </w:numPr>
        <w:ind w:left="284" w:hanging="284"/>
        <w:jc w:val="both"/>
        <w:rPr>
          <w:b/>
        </w:rPr>
      </w:pPr>
      <w:r>
        <w:rPr>
          <w:b/>
        </w:rPr>
        <w:t>LECTURAS:</w:t>
      </w:r>
    </w:p>
    <w:p w:rsidR="005204D9" w:rsidRDefault="005204D9" w:rsidP="005204D9">
      <w:pPr>
        <w:ind w:left="360"/>
        <w:jc w:val="both"/>
      </w:pPr>
      <w:r>
        <w:t>Los dicentes deberán recibir como mínimo dos lecturas escogidas por el docente del curso a fin de ampliar el conocimiento del curso.</w:t>
      </w:r>
    </w:p>
    <w:p w:rsidR="005204D9" w:rsidRDefault="005204D9" w:rsidP="005204D9">
      <w:pPr>
        <w:ind w:left="720" w:hanging="360"/>
        <w:jc w:val="both"/>
      </w:pPr>
      <w:r>
        <w:t xml:space="preserve"> </w:t>
      </w:r>
    </w:p>
    <w:p w:rsidR="005204D9" w:rsidRDefault="005204D9" w:rsidP="005204D9">
      <w:pPr>
        <w:numPr>
          <w:ilvl w:val="0"/>
          <w:numId w:val="20"/>
        </w:numPr>
        <w:tabs>
          <w:tab w:val="num" w:pos="426"/>
        </w:tabs>
        <w:ind w:left="426" w:hanging="426"/>
        <w:jc w:val="both"/>
        <w:rPr>
          <w:b/>
        </w:rPr>
      </w:pPr>
      <w:r>
        <w:rPr>
          <w:b/>
        </w:rPr>
        <w:t xml:space="preserve"> ESTRATEGIAS METODOLÓGICAS</w:t>
      </w:r>
    </w:p>
    <w:p w:rsidR="005204D9" w:rsidRDefault="005204D9" w:rsidP="005204D9">
      <w:pPr>
        <w:ind w:left="426"/>
        <w:jc w:val="both"/>
        <w:rPr>
          <w:color w:val="000000" w:themeColor="text1"/>
        </w:rPr>
      </w:pPr>
      <w:r>
        <w:rPr>
          <w:color w:val="000000" w:themeColor="text1"/>
        </w:rPr>
        <w:t>La metodología será interactiva, promoviendo la participación de los alumnos, con la finalidad que el aprendizaje sea en base a la realimentación que se origina de la exposición del docente y las preguntas y debates que se originaran para el mejor proceso de aprendizaje.</w:t>
      </w:r>
    </w:p>
    <w:p w:rsidR="005204D9" w:rsidRDefault="005204D9" w:rsidP="005204D9">
      <w:pPr>
        <w:ind w:left="426"/>
        <w:jc w:val="both"/>
        <w:rPr>
          <w:color w:val="000000" w:themeColor="text1"/>
        </w:rPr>
      </w:pPr>
    </w:p>
    <w:p w:rsidR="005204D9" w:rsidRDefault="005204D9" w:rsidP="005204D9">
      <w:pPr>
        <w:pStyle w:val="Prrafodelista"/>
        <w:numPr>
          <w:ilvl w:val="0"/>
          <w:numId w:val="20"/>
        </w:numPr>
        <w:ind w:left="426" w:hanging="426"/>
        <w:jc w:val="both"/>
        <w:rPr>
          <w:b/>
          <w:color w:val="000000" w:themeColor="text1"/>
        </w:rPr>
      </w:pPr>
      <w:r>
        <w:rPr>
          <w:b/>
          <w:color w:val="000000" w:themeColor="text1"/>
        </w:rPr>
        <w:t>INVESTIGACIÓN</w:t>
      </w:r>
    </w:p>
    <w:p w:rsidR="005204D9" w:rsidRDefault="005204D9" w:rsidP="005204D9">
      <w:pPr>
        <w:ind w:left="426"/>
        <w:jc w:val="both"/>
        <w:rPr>
          <w:color w:val="000000" w:themeColor="text1"/>
        </w:rPr>
      </w:pPr>
      <w:r>
        <w:rPr>
          <w:color w:val="000000" w:themeColor="text1"/>
        </w:rPr>
        <w:t>Investigación de carácter monográfico, que serán sustentados en las fechas programas.</w:t>
      </w:r>
    </w:p>
    <w:p w:rsidR="005204D9" w:rsidRDefault="005204D9" w:rsidP="005204D9">
      <w:pPr>
        <w:ind w:left="426"/>
        <w:jc w:val="both"/>
        <w:rPr>
          <w:color w:val="000000" w:themeColor="text1"/>
        </w:rPr>
      </w:pPr>
    </w:p>
    <w:p w:rsidR="005204D9" w:rsidRDefault="005204D9" w:rsidP="005204D9">
      <w:pPr>
        <w:pStyle w:val="Prrafodelista"/>
        <w:numPr>
          <w:ilvl w:val="0"/>
          <w:numId w:val="20"/>
        </w:numPr>
        <w:tabs>
          <w:tab w:val="num" w:pos="284"/>
        </w:tabs>
        <w:ind w:left="284" w:hanging="284"/>
        <w:jc w:val="both"/>
        <w:rPr>
          <w:b/>
          <w:color w:val="000000" w:themeColor="text1"/>
        </w:rPr>
      </w:pPr>
      <w:r>
        <w:rPr>
          <w:b/>
          <w:color w:val="000000" w:themeColor="text1"/>
        </w:rPr>
        <w:t xml:space="preserve">REGLAS GENERALES PARA EL DESARROLLO DE LAS CLASES </w:t>
      </w:r>
    </w:p>
    <w:p w:rsidR="005204D9" w:rsidRDefault="005204D9" w:rsidP="005204D9">
      <w:pPr>
        <w:numPr>
          <w:ilvl w:val="0"/>
          <w:numId w:val="21"/>
        </w:numPr>
        <w:ind w:left="709" w:hanging="283"/>
        <w:jc w:val="both"/>
        <w:rPr>
          <w:color w:val="000000" w:themeColor="text1"/>
        </w:rPr>
      </w:pPr>
      <w:r>
        <w:rPr>
          <w:color w:val="000000" w:themeColor="text1"/>
        </w:rPr>
        <w:t xml:space="preserve">La asistencia es obligatoria. </w:t>
      </w:r>
    </w:p>
    <w:p w:rsidR="005204D9" w:rsidRDefault="005204D9" w:rsidP="005204D9">
      <w:pPr>
        <w:numPr>
          <w:ilvl w:val="0"/>
          <w:numId w:val="21"/>
        </w:numPr>
        <w:ind w:left="709" w:hanging="283"/>
        <w:jc w:val="both"/>
        <w:rPr>
          <w:color w:val="000000" w:themeColor="text1"/>
        </w:rPr>
      </w:pPr>
      <w:r>
        <w:rPr>
          <w:color w:val="000000" w:themeColor="text1"/>
        </w:rPr>
        <w:lastRenderedPageBreak/>
        <w:t>Las clases se inician con puntualidad. Habrá quince minutos de tolerancia, luego de los cuales no se deberá interrumpir el desarrollo de la clase.</w:t>
      </w:r>
    </w:p>
    <w:p w:rsidR="005204D9" w:rsidRDefault="005204D9" w:rsidP="005204D9">
      <w:pPr>
        <w:numPr>
          <w:ilvl w:val="0"/>
          <w:numId w:val="21"/>
        </w:numPr>
        <w:ind w:left="709" w:hanging="283"/>
        <w:jc w:val="both"/>
        <w:rPr>
          <w:color w:val="000000" w:themeColor="text1"/>
        </w:rPr>
      </w:pPr>
      <w:r>
        <w:rPr>
          <w:color w:val="000000" w:themeColor="text1"/>
        </w:rPr>
        <w:t>No está permitido el uso de celulares en el salón de clases. En caso el celular suene o sea utilizado durante la clase, el alumno deberá abandonar el salón y no podrá reingresar a éste.</w:t>
      </w:r>
    </w:p>
    <w:p w:rsidR="005204D9" w:rsidRDefault="005204D9" w:rsidP="005204D9">
      <w:pPr>
        <w:ind w:left="709"/>
        <w:jc w:val="both"/>
        <w:rPr>
          <w:color w:val="000000" w:themeColor="text1"/>
        </w:rPr>
      </w:pPr>
    </w:p>
    <w:p w:rsidR="005204D9" w:rsidRDefault="005204D9" w:rsidP="005204D9">
      <w:pPr>
        <w:ind w:left="709"/>
        <w:jc w:val="both"/>
        <w:rPr>
          <w:color w:val="000000" w:themeColor="text1"/>
        </w:rPr>
      </w:pPr>
    </w:p>
    <w:p w:rsidR="005204D9" w:rsidRDefault="005204D9" w:rsidP="005204D9">
      <w:pPr>
        <w:numPr>
          <w:ilvl w:val="0"/>
          <w:numId w:val="20"/>
        </w:numPr>
        <w:tabs>
          <w:tab w:val="num" w:pos="567"/>
        </w:tabs>
        <w:ind w:hanging="1080"/>
        <w:jc w:val="both"/>
        <w:rPr>
          <w:b/>
          <w:color w:val="000000" w:themeColor="text1"/>
        </w:rPr>
      </w:pPr>
      <w:r>
        <w:rPr>
          <w:b/>
          <w:color w:val="000000" w:themeColor="text1"/>
        </w:rPr>
        <w:t xml:space="preserve">SISTEMA DE EVALUACIÓN </w:t>
      </w:r>
    </w:p>
    <w:p w:rsidR="005204D9" w:rsidRDefault="005204D9" w:rsidP="005204D9">
      <w:pPr>
        <w:ind w:left="360"/>
        <w:jc w:val="both"/>
        <w:rPr>
          <w:color w:val="000000" w:themeColor="text1"/>
        </w:rPr>
      </w:pPr>
    </w:p>
    <w:p w:rsidR="005204D9" w:rsidRDefault="005204D9" w:rsidP="005204D9">
      <w:pPr>
        <w:ind w:firstLine="708"/>
        <w:jc w:val="both"/>
      </w:pPr>
      <w:r>
        <w:t>La evaluación será permanente</w:t>
      </w:r>
    </w:p>
    <w:p w:rsidR="005204D9" w:rsidRDefault="005204D9" w:rsidP="005204D9">
      <w:pPr>
        <w:ind w:left="708"/>
        <w:jc w:val="both"/>
      </w:pPr>
      <w:r>
        <w:t>La condición para considerar las notas de control de lectura y prácticas  calificadas, es haber obtenido el promedio de once (11) entre el examen parcial y el examen final.</w:t>
      </w:r>
    </w:p>
    <w:p w:rsidR="005204D9" w:rsidRDefault="005204D9" w:rsidP="005204D9">
      <w:pPr>
        <w:tabs>
          <w:tab w:val="left" w:pos="2243"/>
        </w:tabs>
        <w:ind w:left="708"/>
        <w:jc w:val="both"/>
      </w:pPr>
      <w:r>
        <w:tab/>
      </w:r>
    </w:p>
    <w:p w:rsidR="005204D9" w:rsidRDefault="005204D9" w:rsidP="005204D9">
      <w:pPr>
        <w:ind w:firstLine="708"/>
        <w:jc w:val="both"/>
      </w:pPr>
      <w:r>
        <w:t>El promedio final de la asignatura se obtendrá de la siguiente fórmula:</w:t>
      </w:r>
    </w:p>
    <w:p w:rsidR="005204D9" w:rsidRDefault="005204D9" w:rsidP="005204D9">
      <w:pPr>
        <w:jc w:val="both"/>
      </w:pPr>
    </w:p>
    <w:p w:rsidR="005204D9" w:rsidRDefault="005204D9" w:rsidP="005204D9">
      <w:pPr>
        <w:ind w:left="426"/>
        <w:jc w:val="both"/>
        <w:rPr>
          <w:color w:val="000000"/>
          <w:lang w:val="es-ES" w:eastAsia="es-PE"/>
        </w:rPr>
      </w:pPr>
      <w:r>
        <w:rPr>
          <w:color w:val="000000"/>
          <w:lang w:val="es-ES" w:eastAsia="es-PE"/>
        </w:rPr>
        <w:t>1.  Evaluación de resultados: Indicar pesos ponderados</w:t>
      </w:r>
    </w:p>
    <w:p w:rsidR="005204D9" w:rsidRDefault="005204D9" w:rsidP="005204D9">
      <w:pPr>
        <w:ind w:firstLine="708"/>
        <w:jc w:val="both"/>
        <w:rPr>
          <w:color w:val="000000"/>
          <w:lang w:val="es-ES" w:eastAsia="es-PE"/>
        </w:rPr>
      </w:pPr>
      <w:r>
        <w:rPr>
          <w:color w:val="000000"/>
          <w:lang w:val="es-ES" w:eastAsia="es-PE"/>
        </w:rPr>
        <w:t>Sistema de calificación: Escala vigesimal (0 – 20)</w:t>
      </w:r>
    </w:p>
    <w:p w:rsidR="005204D9" w:rsidRDefault="005204D9" w:rsidP="005204D9">
      <w:pPr>
        <w:ind w:left="708"/>
        <w:jc w:val="both"/>
        <w:rPr>
          <w:color w:val="000000"/>
          <w:u w:val="single"/>
          <w:lang w:val="es-ES" w:eastAsia="es-PE"/>
        </w:rPr>
      </w:pPr>
    </w:p>
    <w:p w:rsidR="005204D9" w:rsidRDefault="005204D9" w:rsidP="005204D9">
      <w:pPr>
        <w:ind w:left="708"/>
        <w:jc w:val="both"/>
        <w:rPr>
          <w:color w:val="000000"/>
          <w:u w:val="single"/>
          <w:lang w:val="es-ES" w:eastAsia="es-PE"/>
        </w:rPr>
      </w:pPr>
      <w:r>
        <w:rPr>
          <w:color w:val="000000"/>
          <w:u w:val="single"/>
          <w:lang w:val="es-ES" w:eastAsia="es-PE"/>
        </w:rPr>
        <w:t>Ponderaciones:</w:t>
      </w:r>
    </w:p>
    <w:p w:rsidR="005204D9" w:rsidRDefault="005204D9" w:rsidP="005204D9">
      <w:pPr>
        <w:tabs>
          <w:tab w:val="left" w:pos="6521"/>
        </w:tabs>
        <w:ind w:left="708"/>
        <w:jc w:val="both"/>
        <w:rPr>
          <w:color w:val="000000"/>
          <w:lang w:val="es-ES" w:eastAsia="es-PE"/>
        </w:rPr>
      </w:pPr>
      <w:r>
        <w:rPr>
          <w:color w:val="000000"/>
          <w:lang w:val="es-ES" w:eastAsia="es-PE"/>
        </w:rPr>
        <w:t>Capacidad Cognoscitiva   (CC)        60%</w:t>
      </w:r>
    </w:p>
    <w:p w:rsidR="005204D9" w:rsidRDefault="005204D9" w:rsidP="005204D9">
      <w:pPr>
        <w:tabs>
          <w:tab w:val="left" w:pos="6521"/>
        </w:tabs>
        <w:autoSpaceDE w:val="0"/>
        <w:autoSpaceDN w:val="0"/>
        <w:adjustRightInd w:val="0"/>
        <w:spacing w:line="276" w:lineRule="auto"/>
        <w:ind w:left="708"/>
        <w:contextualSpacing/>
        <w:jc w:val="both"/>
        <w:rPr>
          <w:rFonts w:eastAsia="Calibri"/>
          <w:color w:val="000000"/>
          <w:spacing w:val="3"/>
          <w:lang w:eastAsia="en-US"/>
        </w:rPr>
      </w:pPr>
      <w:r>
        <w:rPr>
          <w:rFonts w:eastAsia="Calibri"/>
          <w:color w:val="000000"/>
          <w:spacing w:val="3"/>
          <w:lang w:eastAsia="en-US"/>
        </w:rPr>
        <w:t>- Evaluación oral                           (10%)</w:t>
      </w:r>
    </w:p>
    <w:p w:rsidR="005204D9" w:rsidRDefault="005204D9" w:rsidP="005204D9">
      <w:pPr>
        <w:tabs>
          <w:tab w:val="left" w:pos="6521"/>
        </w:tabs>
        <w:autoSpaceDE w:val="0"/>
        <w:autoSpaceDN w:val="0"/>
        <w:adjustRightInd w:val="0"/>
        <w:spacing w:line="276" w:lineRule="auto"/>
        <w:ind w:left="708"/>
        <w:contextualSpacing/>
        <w:jc w:val="both"/>
        <w:rPr>
          <w:rFonts w:eastAsia="Calibri"/>
          <w:color w:val="000000"/>
          <w:spacing w:val="3"/>
          <w:lang w:eastAsia="en-US"/>
        </w:rPr>
      </w:pPr>
      <w:r>
        <w:rPr>
          <w:rFonts w:eastAsia="Calibri"/>
          <w:color w:val="000000"/>
          <w:spacing w:val="3"/>
          <w:lang w:eastAsia="en-US"/>
        </w:rPr>
        <w:t>- Trabajos Académicos                  (10%)</w:t>
      </w:r>
    </w:p>
    <w:p w:rsidR="005204D9" w:rsidRDefault="005204D9" w:rsidP="005204D9">
      <w:pPr>
        <w:tabs>
          <w:tab w:val="left" w:pos="6521"/>
        </w:tabs>
        <w:autoSpaceDE w:val="0"/>
        <w:autoSpaceDN w:val="0"/>
        <w:adjustRightInd w:val="0"/>
        <w:spacing w:line="276" w:lineRule="auto"/>
        <w:ind w:left="708"/>
        <w:contextualSpacing/>
        <w:jc w:val="both"/>
        <w:rPr>
          <w:rFonts w:eastAsia="Calibri"/>
          <w:color w:val="000000"/>
          <w:spacing w:val="3"/>
          <w:lang w:eastAsia="en-US"/>
        </w:rPr>
      </w:pPr>
      <w:r>
        <w:rPr>
          <w:rFonts w:eastAsia="Calibri"/>
          <w:color w:val="000000"/>
          <w:spacing w:val="3"/>
          <w:lang w:eastAsia="en-US"/>
        </w:rPr>
        <w:t>- Examen Parcial                           (20%)</w:t>
      </w:r>
    </w:p>
    <w:p w:rsidR="005204D9" w:rsidRDefault="005204D9" w:rsidP="005204D9">
      <w:pPr>
        <w:tabs>
          <w:tab w:val="left" w:pos="6521"/>
        </w:tabs>
        <w:autoSpaceDE w:val="0"/>
        <w:autoSpaceDN w:val="0"/>
        <w:adjustRightInd w:val="0"/>
        <w:spacing w:line="276" w:lineRule="auto"/>
        <w:ind w:left="708"/>
        <w:contextualSpacing/>
        <w:jc w:val="both"/>
        <w:rPr>
          <w:rFonts w:eastAsia="Calibri"/>
          <w:color w:val="000000"/>
          <w:spacing w:val="3"/>
          <w:lang w:eastAsia="en-US"/>
        </w:rPr>
      </w:pPr>
      <w:r>
        <w:rPr>
          <w:rFonts w:eastAsia="Calibri"/>
          <w:color w:val="000000"/>
          <w:spacing w:val="3"/>
          <w:lang w:eastAsia="en-US"/>
        </w:rPr>
        <w:t>- Examen Final                              (20%)</w:t>
      </w:r>
    </w:p>
    <w:p w:rsidR="005204D9" w:rsidRDefault="005204D9" w:rsidP="005204D9">
      <w:pPr>
        <w:tabs>
          <w:tab w:val="left" w:pos="6521"/>
        </w:tabs>
        <w:ind w:left="708"/>
        <w:jc w:val="both"/>
        <w:rPr>
          <w:color w:val="000000"/>
          <w:lang w:val="es-ES" w:eastAsia="es-PE"/>
        </w:rPr>
      </w:pPr>
    </w:p>
    <w:p w:rsidR="005204D9" w:rsidRDefault="005204D9" w:rsidP="005204D9">
      <w:pPr>
        <w:tabs>
          <w:tab w:val="left" w:pos="6521"/>
        </w:tabs>
        <w:ind w:left="708"/>
        <w:jc w:val="both"/>
        <w:rPr>
          <w:color w:val="000000"/>
          <w:lang w:val="es-ES" w:eastAsia="es-PE"/>
        </w:rPr>
      </w:pPr>
      <w:r>
        <w:rPr>
          <w:color w:val="000000"/>
          <w:lang w:val="es-ES" w:eastAsia="es-PE"/>
        </w:rPr>
        <w:t>Capacidad Procedimental   (CP)        30%</w:t>
      </w:r>
    </w:p>
    <w:p w:rsidR="005204D9" w:rsidRDefault="005204D9" w:rsidP="005204D9">
      <w:pPr>
        <w:tabs>
          <w:tab w:val="left" w:pos="6521"/>
        </w:tabs>
        <w:autoSpaceDE w:val="0"/>
        <w:autoSpaceDN w:val="0"/>
        <w:adjustRightInd w:val="0"/>
        <w:spacing w:line="276" w:lineRule="auto"/>
        <w:ind w:left="708"/>
        <w:contextualSpacing/>
        <w:jc w:val="both"/>
        <w:rPr>
          <w:rFonts w:eastAsia="Calibri"/>
          <w:color w:val="000000"/>
          <w:spacing w:val="3"/>
          <w:lang w:eastAsia="en-US"/>
        </w:rPr>
      </w:pPr>
      <w:r>
        <w:rPr>
          <w:rFonts w:eastAsia="Calibri"/>
          <w:color w:val="000000"/>
          <w:spacing w:val="3"/>
          <w:lang w:eastAsia="en-US"/>
        </w:rPr>
        <w:t>- Practicas Calificadas, Prácticas de laboratorio,</w:t>
      </w:r>
    </w:p>
    <w:p w:rsidR="005204D9" w:rsidRDefault="005204D9" w:rsidP="005204D9">
      <w:pPr>
        <w:tabs>
          <w:tab w:val="left" w:pos="6521"/>
        </w:tabs>
        <w:autoSpaceDE w:val="0"/>
        <w:autoSpaceDN w:val="0"/>
        <w:adjustRightInd w:val="0"/>
        <w:spacing w:line="276" w:lineRule="auto"/>
        <w:ind w:left="1068"/>
        <w:contextualSpacing/>
        <w:jc w:val="both"/>
        <w:rPr>
          <w:rFonts w:eastAsia="Calibri"/>
          <w:color w:val="000000"/>
          <w:spacing w:val="3"/>
          <w:lang w:eastAsia="en-US"/>
        </w:rPr>
      </w:pPr>
      <w:r>
        <w:rPr>
          <w:rFonts w:eastAsia="Calibri"/>
          <w:color w:val="000000"/>
          <w:spacing w:val="3"/>
          <w:lang w:eastAsia="en-US"/>
        </w:rPr>
        <w:t>Investigaciones, interpretación de textos y otros</w:t>
      </w:r>
    </w:p>
    <w:p w:rsidR="005204D9" w:rsidRDefault="005204D9" w:rsidP="005204D9">
      <w:pPr>
        <w:tabs>
          <w:tab w:val="left" w:pos="6521"/>
        </w:tabs>
        <w:ind w:left="708"/>
        <w:jc w:val="both"/>
        <w:rPr>
          <w:color w:val="000000"/>
          <w:lang w:val="es-ES" w:eastAsia="es-PE"/>
        </w:rPr>
      </w:pPr>
    </w:p>
    <w:p w:rsidR="005204D9" w:rsidRDefault="005204D9" w:rsidP="005204D9">
      <w:pPr>
        <w:tabs>
          <w:tab w:val="left" w:pos="6521"/>
        </w:tabs>
        <w:ind w:left="708"/>
        <w:jc w:val="both"/>
        <w:rPr>
          <w:color w:val="000000"/>
          <w:lang w:val="es-ES" w:eastAsia="es-PE"/>
        </w:rPr>
      </w:pPr>
      <w:r>
        <w:rPr>
          <w:color w:val="000000"/>
          <w:lang w:val="es-ES" w:eastAsia="es-PE"/>
        </w:rPr>
        <w:t>Capacidad Actitudinal   (CA)               10%</w:t>
      </w:r>
    </w:p>
    <w:p w:rsidR="005204D9" w:rsidRDefault="005204D9" w:rsidP="005204D9">
      <w:pPr>
        <w:tabs>
          <w:tab w:val="left" w:pos="6521"/>
        </w:tabs>
        <w:autoSpaceDE w:val="0"/>
        <w:autoSpaceDN w:val="0"/>
        <w:adjustRightInd w:val="0"/>
        <w:spacing w:line="276" w:lineRule="auto"/>
        <w:ind w:left="708"/>
        <w:contextualSpacing/>
        <w:jc w:val="both"/>
        <w:rPr>
          <w:rFonts w:eastAsia="Calibri"/>
          <w:color w:val="000000"/>
          <w:spacing w:val="3"/>
          <w:lang w:eastAsia="en-US"/>
        </w:rPr>
      </w:pPr>
      <w:r>
        <w:rPr>
          <w:rFonts w:eastAsia="Calibri"/>
          <w:color w:val="000000"/>
          <w:spacing w:val="3"/>
          <w:lang w:eastAsia="en-US"/>
        </w:rPr>
        <w:t>- Puntualidad, respeto, participación en clases,</w:t>
      </w:r>
    </w:p>
    <w:p w:rsidR="005204D9" w:rsidRDefault="005204D9" w:rsidP="005204D9">
      <w:pPr>
        <w:tabs>
          <w:tab w:val="left" w:pos="6521"/>
        </w:tabs>
        <w:autoSpaceDE w:val="0"/>
        <w:autoSpaceDN w:val="0"/>
        <w:adjustRightInd w:val="0"/>
        <w:spacing w:line="276" w:lineRule="auto"/>
        <w:ind w:left="1068"/>
        <w:contextualSpacing/>
        <w:jc w:val="both"/>
        <w:rPr>
          <w:rFonts w:eastAsia="Calibri"/>
          <w:color w:val="000000"/>
          <w:spacing w:val="3"/>
          <w:lang w:eastAsia="en-US"/>
        </w:rPr>
      </w:pPr>
      <w:r>
        <w:rPr>
          <w:rFonts w:eastAsia="Calibri"/>
          <w:color w:val="000000"/>
          <w:spacing w:val="3"/>
          <w:lang w:eastAsia="en-US"/>
        </w:rPr>
        <w:t>Responsabilidad, trabajo en equipo y otros.</w:t>
      </w:r>
    </w:p>
    <w:p w:rsidR="005204D9" w:rsidRDefault="005204D9" w:rsidP="005204D9">
      <w:pPr>
        <w:ind w:left="851" w:hanging="143"/>
        <w:jc w:val="both"/>
        <w:rPr>
          <w:color w:val="000000"/>
          <w:lang w:val="es-ES" w:eastAsia="es-PE"/>
        </w:rPr>
      </w:pPr>
      <w:r>
        <w:rPr>
          <w:noProof/>
          <w:lang w:val="es-PE" w:eastAsia="es-PE"/>
        </w:rPr>
        <mc:AlternateContent>
          <mc:Choice Requires="wps">
            <w:drawing>
              <wp:anchor distT="0" distB="0" distL="114300" distR="114300" simplePos="0" relativeHeight="251658240" behindDoc="1" locked="0" layoutInCell="1" allowOverlap="1">
                <wp:simplePos x="0" y="0"/>
                <wp:positionH relativeFrom="column">
                  <wp:posOffset>295275</wp:posOffset>
                </wp:positionH>
                <wp:positionV relativeFrom="paragraph">
                  <wp:posOffset>70485</wp:posOffset>
                </wp:positionV>
                <wp:extent cx="3129915" cy="453390"/>
                <wp:effectExtent l="0" t="0" r="13335" b="2286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453390"/>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B8897" id="Rectángulo redondeado 1" o:spid="_x0000_s1026" style="position:absolute;margin-left:23.25pt;margin-top:5.55pt;width:246.4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" strokeweight="2pt"/>
            </w:pict>
          </mc:Fallback>
        </mc:AlternateContent>
      </w:r>
      <w:r>
        <w:rPr>
          <w:color w:val="000000"/>
          <w:lang w:val="es-ES" w:eastAsia="es-PE"/>
        </w:rPr>
        <w:tab/>
      </w:r>
    </w:p>
    <w:p w:rsidR="005204D9" w:rsidRDefault="00101FE6" w:rsidP="005204D9">
      <w:pPr>
        <w:ind w:left="708"/>
        <w:jc w:val="both"/>
        <w:rPr>
          <w:color w:val="000000"/>
          <w:lang w:val="es-ES" w:eastAsia="es-PE"/>
        </w:rPr>
      </w:pPr>
      <w:r>
        <w:rPr>
          <w:color w:val="000000"/>
          <w:lang w:val="es-ES" w:eastAsia="es-PE"/>
        </w:rPr>
        <w:t xml:space="preserve">PF = CC (0,60) + </w:t>
      </w:r>
      <w:proofErr w:type="gramStart"/>
      <w:r>
        <w:rPr>
          <w:color w:val="000000"/>
          <w:lang w:val="es-ES" w:eastAsia="es-PE"/>
        </w:rPr>
        <w:t>CP</w:t>
      </w:r>
      <w:r w:rsidR="005204D9">
        <w:rPr>
          <w:color w:val="000000"/>
          <w:lang w:val="es-ES" w:eastAsia="es-PE"/>
        </w:rPr>
        <w:t>(</w:t>
      </w:r>
      <w:proofErr w:type="gramEnd"/>
      <w:r w:rsidR="005204D9">
        <w:rPr>
          <w:color w:val="000000"/>
          <w:lang w:val="es-ES" w:eastAsia="es-PE"/>
        </w:rPr>
        <w:t>0,3</w:t>
      </w:r>
      <w:r>
        <w:rPr>
          <w:color w:val="000000"/>
          <w:lang w:val="es-ES" w:eastAsia="es-PE"/>
        </w:rPr>
        <w:t>0) + CA</w:t>
      </w:r>
      <w:r w:rsidR="005204D9">
        <w:rPr>
          <w:color w:val="000000"/>
          <w:lang w:val="es-ES" w:eastAsia="es-PE"/>
        </w:rPr>
        <w:t>(0,1</w:t>
      </w:r>
      <w:r>
        <w:rPr>
          <w:color w:val="000000"/>
          <w:lang w:val="es-ES" w:eastAsia="es-PE"/>
        </w:rPr>
        <w:t>0</w:t>
      </w:r>
      <w:r w:rsidR="005204D9">
        <w:rPr>
          <w:color w:val="000000"/>
          <w:lang w:val="es-ES" w:eastAsia="es-PE"/>
        </w:rPr>
        <w:t>)</w:t>
      </w:r>
    </w:p>
    <w:p w:rsidR="005204D9" w:rsidRDefault="005204D9" w:rsidP="005204D9">
      <w:pPr>
        <w:ind w:left="360"/>
        <w:jc w:val="both"/>
      </w:pPr>
    </w:p>
    <w:p w:rsidR="005204D9" w:rsidRDefault="005204D9" w:rsidP="005204D9">
      <w:pPr>
        <w:ind w:left="360"/>
        <w:jc w:val="both"/>
        <w:rPr>
          <w:b/>
        </w:rPr>
      </w:pPr>
    </w:p>
    <w:p w:rsidR="005204D9" w:rsidRDefault="005204D9" w:rsidP="005204D9">
      <w:pPr>
        <w:numPr>
          <w:ilvl w:val="0"/>
          <w:numId w:val="20"/>
        </w:numPr>
        <w:jc w:val="both"/>
        <w:rPr>
          <w:b/>
        </w:rPr>
      </w:pPr>
      <w:r>
        <w:rPr>
          <w:b/>
        </w:rPr>
        <w:t>BIBLIOGRAFÍA:</w:t>
      </w:r>
    </w:p>
    <w:p w:rsidR="005204D9" w:rsidRDefault="005204D9" w:rsidP="005204D9">
      <w:pPr>
        <w:ind w:left="360"/>
        <w:jc w:val="both"/>
        <w:rPr>
          <w:b/>
        </w:rPr>
      </w:pPr>
    </w:p>
    <w:p w:rsidR="005204D9" w:rsidRDefault="005204D9" w:rsidP="005204D9">
      <w:pPr>
        <w:numPr>
          <w:ilvl w:val="0"/>
          <w:numId w:val="22"/>
        </w:numPr>
        <w:spacing w:before="120" w:line="360" w:lineRule="auto"/>
        <w:jc w:val="both"/>
      </w:pPr>
      <w:r>
        <w:t>CARRILLO SALCEDO, JUAN ANTONIO. Textos Básicos de Naciones Unidas. Editorial Tecnos, Madrid, 1982.</w:t>
      </w:r>
    </w:p>
    <w:p w:rsidR="005204D9" w:rsidRDefault="005204D9" w:rsidP="005204D9">
      <w:pPr>
        <w:numPr>
          <w:ilvl w:val="0"/>
          <w:numId w:val="22"/>
        </w:numPr>
        <w:spacing w:before="120" w:line="360" w:lineRule="auto"/>
        <w:jc w:val="both"/>
      </w:pPr>
      <w:r>
        <w:t>COMISIÓN DE DERECHO INTERNACIONAL. Comentarios del Proyecto de Artículos sobre e</w:t>
      </w:r>
      <w:proofErr w:type="gramStart"/>
      <w:r>
        <w:t>!</w:t>
      </w:r>
      <w:proofErr w:type="gramEnd"/>
      <w:r>
        <w:t xml:space="preserve"> Derecho de los Tratados. En: Anuario de la Comisión de </w:t>
      </w:r>
      <w:r>
        <w:lastRenderedPageBreak/>
        <w:t>Derecho Internacional 1966, Vol. I y II. Publicación de las Naciones Unidas. Nueva York, 1967.</w:t>
      </w:r>
    </w:p>
    <w:p w:rsidR="005204D9" w:rsidRDefault="005204D9" w:rsidP="005204D9">
      <w:pPr>
        <w:numPr>
          <w:ilvl w:val="0"/>
          <w:numId w:val="22"/>
        </w:numPr>
        <w:spacing w:before="120" w:line="360" w:lineRule="auto"/>
        <w:jc w:val="both"/>
      </w:pPr>
      <w:r>
        <w:t xml:space="preserve">NOVAK TALAVERA, Fabián.  Derecho Internacional Público. Tomo I y II </w:t>
      </w:r>
      <w:proofErr w:type="spellStart"/>
      <w:r>
        <w:t>Fonfo</w:t>
      </w:r>
      <w:proofErr w:type="spellEnd"/>
      <w:r>
        <w:t xml:space="preserve"> Editorial 2000.</w:t>
      </w:r>
    </w:p>
    <w:p w:rsidR="005204D9" w:rsidRDefault="005204D9" w:rsidP="005204D9">
      <w:pPr>
        <w:numPr>
          <w:ilvl w:val="0"/>
          <w:numId w:val="22"/>
        </w:numPr>
        <w:spacing w:line="360" w:lineRule="auto"/>
        <w:jc w:val="both"/>
      </w:pPr>
      <w:r>
        <w:t xml:space="preserve">El Nuevo Derecho del Mar.- El Perú y las </w:t>
      </w:r>
      <w:smartTag w:uri="urn:schemas-microsoft-com:office:smarttags" w:element="metricconverter">
        <w:smartTagPr>
          <w:attr w:name="ProductID" w:val="200 Millas"/>
        </w:smartTagPr>
        <w:r>
          <w:t>200 Millas</w:t>
        </w:r>
      </w:smartTag>
      <w:r>
        <w:t>. Pontificia Universidad Católica del Perú. Fondo Editorial, Lima, 1979.</w:t>
      </w:r>
    </w:p>
    <w:p w:rsidR="005204D9" w:rsidRDefault="005204D9" w:rsidP="005204D9">
      <w:pPr>
        <w:numPr>
          <w:ilvl w:val="0"/>
          <w:numId w:val="22"/>
        </w:numPr>
        <w:spacing w:line="360" w:lineRule="auto"/>
        <w:jc w:val="both"/>
      </w:pPr>
      <w:r>
        <w:t>JIMÉNEZ DE ARECHAGA, L El Derecho Internacional Contemporáneo. Editorial Tecnos, Madrid, 1980.</w:t>
      </w:r>
    </w:p>
    <w:p w:rsidR="005204D9" w:rsidRDefault="005204D9" w:rsidP="005204D9">
      <w:pPr>
        <w:numPr>
          <w:ilvl w:val="0"/>
          <w:numId w:val="22"/>
        </w:numPr>
        <w:spacing w:line="360" w:lineRule="auto"/>
        <w:jc w:val="both"/>
      </w:pPr>
      <w:r>
        <w:t xml:space="preserve"> LLANOS MANSILLA, HUGO. Teoría Practica del Derecho Internacional Público. Editorial Jurídica de </w:t>
      </w:r>
      <w:proofErr w:type="spellStart"/>
      <w:r>
        <w:t>Chiie</w:t>
      </w:r>
      <w:proofErr w:type="spellEnd"/>
      <w:r>
        <w:t>. Santiago de Chile, 1983 (III Tomos).</w:t>
      </w:r>
    </w:p>
    <w:p w:rsidR="005204D9" w:rsidRDefault="005204D9" w:rsidP="005204D9">
      <w:pPr>
        <w:numPr>
          <w:ilvl w:val="0"/>
          <w:numId w:val="22"/>
        </w:numPr>
        <w:spacing w:line="360" w:lineRule="auto"/>
        <w:jc w:val="both"/>
      </w:pPr>
      <w:r>
        <w:t xml:space="preserve">  MIAJA DE LA MUELA, A. Introducción al Derecho Internacional Público Madrid, 1979.</w:t>
      </w:r>
    </w:p>
    <w:p w:rsidR="005204D9" w:rsidRDefault="005204D9" w:rsidP="005204D9">
      <w:pPr>
        <w:numPr>
          <w:ilvl w:val="0"/>
          <w:numId w:val="22"/>
        </w:numPr>
        <w:spacing w:line="360" w:lineRule="auto"/>
        <w:jc w:val="both"/>
      </w:pPr>
      <w:r>
        <w:t xml:space="preserve">MEDINA ORTEGA, MANUEL. La Organización de las Naciones Unidas. Su estructura y funciones. Editorial.  Tecnos. Madrid, 1977.    </w:t>
      </w:r>
    </w:p>
    <w:p w:rsidR="005204D9" w:rsidRDefault="005204D9" w:rsidP="009B7D7D">
      <w:pPr>
        <w:numPr>
          <w:ilvl w:val="0"/>
          <w:numId w:val="22"/>
        </w:numPr>
        <w:spacing w:line="360" w:lineRule="auto"/>
        <w:jc w:val="both"/>
      </w:pPr>
      <w:r>
        <w:t xml:space="preserve"> MONCAYO, VINUESA Y GUTIÉRREZ, Derecho Internacional Público. Bs. As, </w:t>
      </w:r>
      <w:r>
        <w:rPr>
          <w:bCs/>
        </w:rPr>
        <w:t>1,981.</w:t>
      </w:r>
    </w:p>
    <w:p w:rsidR="005204D9" w:rsidRDefault="005204D9" w:rsidP="005204D9">
      <w:pPr>
        <w:numPr>
          <w:ilvl w:val="0"/>
          <w:numId w:val="22"/>
        </w:numPr>
        <w:spacing w:line="360" w:lineRule="auto"/>
        <w:jc w:val="both"/>
      </w:pPr>
      <w:r>
        <w:t xml:space="preserve">PASTOR RIDRUEJO, J.A. Lecciones de Derecho Internacional Público. Madrid, 1983. </w:t>
      </w:r>
    </w:p>
    <w:p w:rsidR="005204D9" w:rsidRDefault="005204D9" w:rsidP="005204D9">
      <w:pPr>
        <w:numPr>
          <w:ilvl w:val="0"/>
          <w:numId w:val="22"/>
        </w:numPr>
        <w:spacing w:line="360" w:lineRule="auto"/>
        <w:jc w:val="both"/>
      </w:pPr>
      <w:r>
        <w:t xml:space="preserve"> PÉREZ VERA, E. Naciones Unidas y los Principios de la Coexistencia Pacífica. </w:t>
      </w:r>
      <w:proofErr w:type="gramStart"/>
      <w:r>
        <w:t>Editorial Tecnos</w:t>
      </w:r>
      <w:proofErr w:type="gramEnd"/>
      <w:r>
        <w:t xml:space="preserve">. Madrid, 1973. </w:t>
      </w:r>
    </w:p>
    <w:p w:rsidR="005204D9" w:rsidRDefault="005204D9" w:rsidP="005204D9">
      <w:pPr>
        <w:numPr>
          <w:ilvl w:val="0"/>
          <w:numId w:val="22"/>
        </w:numPr>
        <w:spacing w:line="360" w:lineRule="auto"/>
        <w:jc w:val="both"/>
      </w:pPr>
      <w:r>
        <w:t xml:space="preserve"> PODESTA COSTA. LUIS A. Derecho Internacional Público. 2 Tomos, Tercera Edición. Tipografía Editora Argentina. Buenos Aires, 1955.</w:t>
      </w:r>
    </w:p>
    <w:p w:rsidR="005204D9" w:rsidRDefault="005204D9" w:rsidP="005204D9">
      <w:pPr>
        <w:numPr>
          <w:ilvl w:val="0"/>
          <w:numId w:val="22"/>
        </w:numPr>
        <w:tabs>
          <w:tab w:val="left" w:pos="4320"/>
        </w:tabs>
        <w:jc w:val="both"/>
      </w:pPr>
      <w:r>
        <w:t>BERNALES BALLESTEROS, Enrique. La Constitución de 1993. Análisis Comparado, Editorial RAO. Quinta Edición. Lima. 1999.</w:t>
      </w:r>
    </w:p>
    <w:p w:rsidR="005204D9" w:rsidRDefault="005204D9" w:rsidP="005204D9">
      <w:pPr>
        <w:numPr>
          <w:ilvl w:val="0"/>
          <w:numId w:val="22"/>
        </w:numPr>
        <w:tabs>
          <w:tab w:val="left" w:pos="4320"/>
        </w:tabs>
        <w:jc w:val="both"/>
      </w:pPr>
      <w:r>
        <w:t>VALLE- RIESTRA, Javier. Jurisdicción Supranacional, Editorial  Arte  Gráfica, Lima, 2000.</w:t>
      </w:r>
      <w:r>
        <w:rPr>
          <w:noProof/>
          <w:lang w:eastAsia="es-ES"/>
          <w14:shadow w14:blurRad="50800" w14:dist="38100" w14:dir="2700000" w14:sx="100000" w14:sy="100000" w14:kx="0" w14:ky="0" w14:algn="tl">
            <w14:srgbClr w14:val="000000">
              <w14:alpha w14:val="60000"/>
            </w14:srgbClr>
          </w14:shadow>
        </w:rPr>
        <w:t xml:space="preserve"> </w:t>
      </w:r>
    </w:p>
    <w:p w:rsidR="005204D9" w:rsidRDefault="005204D9" w:rsidP="005204D9">
      <w:pPr>
        <w:jc w:val="both"/>
      </w:pPr>
    </w:p>
    <w:p w:rsidR="009B7D7D" w:rsidRDefault="009B7D7D" w:rsidP="005204D9">
      <w:pPr>
        <w:jc w:val="center"/>
        <w:rPr>
          <w:b/>
        </w:rPr>
      </w:pPr>
    </w:p>
    <w:p w:rsidR="009B7D7D" w:rsidRDefault="009B7D7D" w:rsidP="005204D9">
      <w:pPr>
        <w:jc w:val="center"/>
        <w:rPr>
          <w:b/>
        </w:rPr>
      </w:pPr>
    </w:p>
    <w:p w:rsidR="005204D9" w:rsidRDefault="005204D9" w:rsidP="005204D9">
      <w:pPr>
        <w:jc w:val="center"/>
        <w:rPr>
          <w:b/>
        </w:rPr>
      </w:pPr>
      <w:r>
        <w:rPr>
          <w:b/>
        </w:rPr>
        <w:t>_____________________</w:t>
      </w:r>
    </w:p>
    <w:p w:rsidR="005204D9" w:rsidRDefault="005204D9" w:rsidP="005204D9">
      <w:pPr>
        <w:jc w:val="center"/>
        <w:rPr>
          <w:b/>
        </w:rPr>
      </w:pPr>
      <w:r>
        <w:rPr>
          <w:b/>
        </w:rPr>
        <w:t xml:space="preserve"> Dr. Máximo Villarreal Salomé </w:t>
      </w:r>
    </w:p>
    <w:p w:rsidR="009B7D7D" w:rsidRDefault="005204D9" w:rsidP="009B7D7D">
      <w:pPr>
        <w:ind w:left="3192" w:firstLine="348"/>
        <w:jc w:val="both"/>
      </w:pPr>
      <w:r>
        <w:rPr>
          <w:b/>
        </w:rPr>
        <w:t>Docente del Curso</w:t>
      </w:r>
    </w:p>
    <w:sectPr w:rsidR="009B7D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7D00"/>
    <w:multiLevelType w:val="hybridMultilevel"/>
    <w:tmpl w:val="86DAF4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03FF6C13"/>
    <w:multiLevelType w:val="hybridMultilevel"/>
    <w:tmpl w:val="2E9A1BA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6C567AE"/>
    <w:multiLevelType w:val="hybridMultilevel"/>
    <w:tmpl w:val="AEF8DF4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0CE262E6"/>
    <w:multiLevelType w:val="multilevel"/>
    <w:tmpl w:val="D0D4FFAC"/>
    <w:lvl w:ilvl="0">
      <w:start w:val="1"/>
      <w:numFmt w:val="decimal"/>
      <w:lvlText w:val="%1."/>
      <w:lvlJc w:val="left"/>
      <w:pPr>
        <w:ind w:left="360" w:hanging="360"/>
      </w:pPr>
    </w:lvl>
    <w:lvl w:ilvl="1">
      <w:start w:val="1"/>
      <w:numFmt w:val="decimal"/>
      <w:lvlText w:val="%1.%2."/>
      <w:lvlJc w:val="left"/>
      <w:pPr>
        <w:ind w:left="415" w:hanging="360"/>
      </w:pPr>
    </w:lvl>
    <w:lvl w:ilvl="2">
      <w:start w:val="1"/>
      <w:numFmt w:val="decimal"/>
      <w:lvlText w:val="%1.%2.%3."/>
      <w:lvlJc w:val="left"/>
      <w:pPr>
        <w:ind w:left="830" w:hanging="720"/>
      </w:pPr>
    </w:lvl>
    <w:lvl w:ilvl="3">
      <w:start w:val="1"/>
      <w:numFmt w:val="decimal"/>
      <w:lvlText w:val="%1.%2.%3.%4."/>
      <w:lvlJc w:val="left"/>
      <w:pPr>
        <w:ind w:left="885" w:hanging="720"/>
      </w:pPr>
    </w:lvl>
    <w:lvl w:ilvl="4">
      <w:start w:val="1"/>
      <w:numFmt w:val="decimal"/>
      <w:lvlText w:val="%1.%2.%3.%4.%5."/>
      <w:lvlJc w:val="left"/>
      <w:pPr>
        <w:ind w:left="1300" w:hanging="1080"/>
      </w:pPr>
    </w:lvl>
    <w:lvl w:ilvl="5">
      <w:start w:val="1"/>
      <w:numFmt w:val="decimal"/>
      <w:lvlText w:val="%1.%2.%3.%4.%5.%6."/>
      <w:lvlJc w:val="left"/>
      <w:pPr>
        <w:ind w:left="1355" w:hanging="1080"/>
      </w:pPr>
    </w:lvl>
    <w:lvl w:ilvl="6">
      <w:start w:val="1"/>
      <w:numFmt w:val="decimal"/>
      <w:lvlText w:val="%1.%2.%3.%4.%5.%6.%7."/>
      <w:lvlJc w:val="left"/>
      <w:pPr>
        <w:ind w:left="1410" w:hanging="1080"/>
      </w:pPr>
    </w:lvl>
    <w:lvl w:ilvl="7">
      <w:start w:val="1"/>
      <w:numFmt w:val="decimal"/>
      <w:lvlText w:val="%1.%2.%3.%4.%5.%6.%7.%8."/>
      <w:lvlJc w:val="left"/>
      <w:pPr>
        <w:ind w:left="1825" w:hanging="1440"/>
      </w:pPr>
    </w:lvl>
    <w:lvl w:ilvl="8">
      <w:start w:val="1"/>
      <w:numFmt w:val="decimal"/>
      <w:lvlText w:val="%1.%2.%3.%4.%5.%6.%7.%8.%9."/>
      <w:lvlJc w:val="left"/>
      <w:pPr>
        <w:ind w:left="1880" w:hanging="1440"/>
      </w:pPr>
    </w:lvl>
  </w:abstractNum>
  <w:abstractNum w:abstractNumId="4">
    <w:nsid w:val="0E2B36FB"/>
    <w:multiLevelType w:val="hybridMultilevel"/>
    <w:tmpl w:val="E0081F9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0E6B4B85"/>
    <w:multiLevelType w:val="hybridMultilevel"/>
    <w:tmpl w:val="F4C0000E"/>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start w:val="1"/>
      <w:numFmt w:val="bullet"/>
      <w:lvlText w:val="o"/>
      <w:lvlJc w:val="left"/>
      <w:pPr>
        <w:ind w:left="6186" w:hanging="360"/>
      </w:pPr>
      <w:rPr>
        <w:rFonts w:ascii="Courier New" w:hAnsi="Courier New" w:cs="Courier New" w:hint="default"/>
      </w:rPr>
    </w:lvl>
    <w:lvl w:ilvl="8" w:tplc="280A0005">
      <w:start w:val="1"/>
      <w:numFmt w:val="bullet"/>
      <w:lvlText w:val=""/>
      <w:lvlJc w:val="left"/>
      <w:pPr>
        <w:ind w:left="6906" w:hanging="360"/>
      </w:pPr>
      <w:rPr>
        <w:rFonts w:ascii="Wingdings" w:hAnsi="Wingdings" w:hint="default"/>
      </w:rPr>
    </w:lvl>
  </w:abstractNum>
  <w:abstractNum w:abstractNumId="6">
    <w:nsid w:val="13F00E0E"/>
    <w:multiLevelType w:val="hybridMultilevel"/>
    <w:tmpl w:val="D5B620B2"/>
    <w:lvl w:ilvl="0" w:tplc="6FF20846">
      <w:start w:val="27"/>
      <w:numFmt w:val="decimal"/>
      <w:lvlText w:val="%1"/>
      <w:lvlJc w:val="left"/>
      <w:pPr>
        <w:ind w:left="449" w:hanging="360"/>
      </w:pPr>
      <w:rPr>
        <w:rFonts w:hint="default"/>
        <w:color w:val="000000"/>
      </w:rPr>
    </w:lvl>
    <w:lvl w:ilvl="1" w:tplc="280A0019" w:tentative="1">
      <w:start w:val="1"/>
      <w:numFmt w:val="lowerLetter"/>
      <w:lvlText w:val="%2."/>
      <w:lvlJc w:val="left"/>
      <w:pPr>
        <w:ind w:left="1169" w:hanging="360"/>
      </w:pPr>
    </w:lvl>
    <w:lvl w:ilvl="2" w:tplc="280A001B" w:tentative="1">
      <w:start w:val="1"/>
      <w:numFmt w:val="lowerRoman"/>
      <w:lvlText w:val="%3."/>
      <w:lvlJc w:val="right"/>
      <w:pPr>
        <w:ind w:left="1889" w:hanging="180"/>
      </w:pPr>
    </w:lvl>
    <w:lvl w:ilvl="3" w:tplc="280A000F" w:tentative="1">
      <w:start w:val="1"/>
      <w:numFmt w:val="decimal"/>
      <w:lvlText w:val="%4."/>
      <w:lvlJc w:val="left"/>
      <w:pPr>
        <w:ind w:left="2609" w:hanging="360"/>
      </w:pPr>
    </w:lvl>
    <w:lvl w:ilvl="4" w:tplc="280A0019" w:tentative="1">
      <w:start w:val="1"/>
      <w:numFmt w:val="lowerLetter"/>
      <w:lvlText w:val="%5."/>
      <w:lvlJc w:val="left"/>
      <w:pPr>
        <w:ind w:left="3329" w:hanging="360"/>
      </w:pPr>
    </w:lvl>
    <w:lvl w:ilvl="5" w:tplc="280A001B" w:tentative="1">
      <w:start w:val="1"/>
      <w:numFmt w:val="lowerRoman"/>
      <w:lvlText w:val="%6."/>
      <w:lvlJc w:val="right"/>
      <w:pPr>
        <w:ind w:left="4049" w:hanging="180"/>
      </w:pPr>
    </w:lvl>
    <w:lvl w:ilvl="6" w:tplc="280A000F" w:tentative="1">
      <w:start w:val="1"/>
      <w:numFmt w:val="decimal"/>
      <w:lvlText w:val="%7."/>
      <w:lvlJc w:val="left"/>
      <w:pPr>
        <w:ind w:left="4769" w:hanging="360"/>
      </w:pPr>
    </w:lvl>
    <w:lvl w:ilvl="7" w:tplc="280A0019" w:tentative="1">
      <w:start w:val="1"/>
      <w:numFmt w:val="lowerLetter"/>
      <w:lvlText w:val="%8."/>
      <w:lvlJc w:val="left"/>
      <w:pPr>
        <w:ind w:left="5489" w:hanging="360"/>
      </w:pPr>
    </w:lvl>
    <w:lvl w:ilvl="8" w:tplc="280A001B" w:tentative="1">
      <w:start w:val="1"/>
      <w:numFmt w:val="lowerRoman"/>
      <w:lvlText w:val="%9."/>
      <w:lvlJc w:val="right"/>
      <w:pPr>
        <w:ind w:left="6209" w:hanging="180"/>
      </w:pPr>
    </w:lvl>
  </w:abstractNum>
  <w:abstractNum w:abstractNumId="7">
    <w:nsid w:val="14011BF3"/>
    <w:multiLevelType w:val="hybridMultilevel"/>
    <w:tmpl w:val="C08092A4"/>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8">
    <w:nsid w:val="1B814B62"/>
    <w:multiLevelType w:val="hybridMultilevel"/>
    <w:tmpl w:val="4E429916"/>
    <w:lvl w:ilvl="0" w:tplc="0C0A0017">
      <w:start w:val="1"/>
      <w:numFmt w:val="lowerLetter"/>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9">
    <w:nsid w:val="1DA0441C"/>
    <w:multiLevelType w:val="hybridMultilevel"/>
    <w:tmpl w:val="E58CE832"/>
    <w:lvl w:ilvl="0" w:tplc="38C8BF98">
      <w:start w:val="6"/>
      <w:numFmt w:val="upperRoman"/>
      <w:lvlText w:val="%1."/>
      <w:lvlJc w:val="left"/>
      <w:pPr>
        <w:tabs>
          <w:tab w:val="num" w:pos="1080"/>
        </w:tabs>
        <w:ind w:left="1080" w:hanging="72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23436A92"/>
    <w:multiLevelType w:val="hybridMultilevel"/>
    <w:tmpl w:val="4D9E32D6"/>
    <w:lvl w:ilvl="0" w:tplc="F7588650">
      <w:start w:val="5"/>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2B7153F3"/>
    <w:multiLevelType w:val="hybridMultilevel"/>
    <w:tmpl w:val="A342B9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9397B31"/>
    <w:multiLevelType w:val="hybridMultilevel"/>
    <w:tmpl w:val="5DE6A58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3CB659CA"/>
    <w:multiLevelType w:val="hybridMultilevel"/>
    <w:tmpl w:val="A4FA84E6"/>
    <w:lvl w:ilvl="0" w:tplc="0C0A000F">
      <w:start w:val="1"/>
      <w:numFmt w:val="decimal"/>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4">
    <w:nsid w:val="3F28306B"/>
    <w:multiLevelType w:val="hybridMultilevel"/>
    <w:tmpl w:val="C99CDFB8"/>
    <w:lvl w:ilvl="0" w:tplc="E5045DEE">
      <w:start w:val="3"/>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nsid w:val="3FEA2377"/>
    <w:multiLevelType w:val="hybridMultilevel"/>
    <w:tmpl w:val="A314B090"/>
    <w:lvl w:ilvl="0" w:tplc="F0580AB8">
      <w:start w:val="1"/>
      <w:numFmt w:val="bullet"/>
      <w:lvlText w:val="-"/>
      <w:lvlJc w:val="left"/>
      <w:pPr>
        <w:tabs>
          <w:tab w:val="num" w:pos="420"/>
        </w:tabs>
        <w:ind w:left="420" w:hanging="420"/>
      </w:pPr>
      <w:rPr>
        <w:rFonts w:ascii="Arial" w:eastAsia="Times New Roman" w:hAnsi="Arial" w:cs="Arial"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6">
    <w:nsid w:val="43CE7BD3"/>
    <w:multiLevelType w:val="hybridMultilevel"/>
    <w:tmpl w:val="333259C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464B68A7"/>
    <w:multiLevelType w:val="hybridMultilevel"/>
    <w:tmpl w:val="28F0FD1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3D97E81"/>
    <w:multiLevelType w:val="hybridMultilevel"/>
    <w:tmpl w:val="F38850A4"/>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19">
    <w:nsid w:val="551258E2"/>
    <w:multiLevelType w:val="hybridMultilevel"/>
    <w:tmpl w:val="181AF44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911182C"/>
    <w:multiLevelType w:val="hybridMultilevel"/>
    <w:tmpl w:val="5C720E0A"/>
    <w:lvl w:ilvl="0" w:tplc="AB7C3242">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5D570F41"/>
    <w:multiLevelType w:val="multilevel"/>
    <w:tmpl w:val="B7247E9E"/>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734C6A31"/>
    <w:multiLevelType w:val="hybridMultilevel"/>
    <w:tmpl w:val="358A609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6"/>
  </w:num>
  <w:num w:numId="10">
    <w:abstractNumId w:val="2"/>
  </w:num>
  <w:num w:numId="11">
    <w:abstractNumId w:val="19"/>
  </w:num>
  <w:num w:numId="12">
    <w:abstractNumId w:val="0"/>
  </w:num>
  <w:num w:numId="13">
    <w:abstractNumId w:val="18"/>
  </w:num>
  <w:num w:numId="14">
    <w:abstractNumId w:val="12"/>
  </w:num>
  <w:num w:numId="15">
    <w:abstractNumId w:val="11"/>
  </w:num>
  <w:num w:numId="16">
    <w:abstractNumId w:val="22"/>
  </w:num>
  <w:num w:numId="17">
    <w:abstractNumId w:val="17"/>
  </w:num>
  <w:num w:numId="18">
    <w:abstractNumId w:val="15"/>
  </w:num>
  <w:num w:numId="1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D9"/>
    <w:rsid w:val="00101FE6"/>
    <w:rsid w:val="00174C1F"/>
    <w:rsid w:val="00212D31"/>
    <w:rsid w:val="003E5626"/>
    <w:rsid w:val="004E2AC4"/>
    <w:rsid w:val="005204D9"/>
    <w:rsid w:val="00522ED9"/>
    <w:rsid w:val="0054547A"/>
    <w:rsid w:val="009B5FCB"/>
    <w:rsid w:val="009B7D7D"/>
    <w:rsid w:val="00B64CA6"/>
    <w:rsid w:val="00B93517"/>
    <w:rsid w:val="00DD1C97"/>
    <w:rsid w:val="00DF1D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DB1AF0-BB72-4E91-A553-05A9FA7E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4D9"/>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4D9"/>
    <w:pPr>
      <w:ind w:left="720"/>
      <w:contextualSpacing/>
    </w:pPr>
  </w:style>
  <w:style w:type="table" w:styleId="Tablaconcuadrcula">
    <w:name w:val="Table Grid"/>
    <w:basedOn w:val="Tablanormal"/>
    <w:rsid w:val="005204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1662</Words>
  <Characters>9142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Maximo</dc:creator>
  <cp:lastModifiedBy>user</cp:lastModifiedBy>
  <cp:revision>13</cp:revision>
  <dcterms:created xsi:type="dcterms:W3CDTF">2018-04-03T11:35:00Z</dcterms:created>
  <dcterms:modified xsi:type="dcterms:W3CDTF">2018-04-11T01:18:00Z</dcterms:modified>
</cp:coreProperties>
</file>